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A98E" w14:textId="77777777" w:rsidR="00F942C2" w:rsidRDefault="00F942C2" w:rsidP="00EF6300">
      <w:pPr>
        <w:pStyle w:val="Vanligtekstbrdtekst"/>
        <w:spacing w:line="276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14:paraId="2A867C3D" w14:textId="77777777" w:rsidR="00EF6300" w:rsidRPr="008C24B6" w:rsidRDefault="00EF6300" w:rsidP="00EF6300">
      <w:pPr>
        <w:pStyle w:val="Vanligtekstbrdtekst"/>
        <w:spacing w:line="276" w:lineRule="auto"/>
        <w:rPr>
          <w:rFonts w:ascii="Proxima Nova Light" w:hAnsi="Proxima Nova Light"/>
          <w:sz w:val="18"/>
          <w:szCs w:val="18"/>
        </w:rPr>
      </w:pPr>
    </w:p>
    <w:p w14:paraId="0458E6DD" w14:textId="77777777" w:rsidR="00EF6300" w:rsidRDefault="00EF6300" w:rsidP="00EF6300">
      <w:pPr>
        <w:pStyle w:val="Vanligtekstbrdtekst"/>
        <w:spacing w:line="276" w:lineRule="auto"/>
        <w:rPr>
          <w:rFonts w:ascii="Proxima Nova Light" w:hAnsi="Proxima Nova Light"/>
          <w:sz w:val="18"/>
          <w:szCs w:val="18"/>
        </w:rPr>
      </w:pPr>
    </w:p>
    <w:p w14:paraId="619D5053" w14:textId="77777777" w:rsidR="00EF6300" w:rsidRDefault="00EF6300" w:rsidP="00EF6300">
      <w:pPr>
        <w:pStyle w:val="Vanligtekstbrdtekst"/>
        <w:spacing w:line="276" w:lineRule="auto"/>
        <w:rPr>
          <w:rFonts w:ascii="Proxima Nova Light" w:hAnsi="Proxima Nova Light"/>
          <w:sz w:val="18"/>
          <w:szCs w:val="18"/>
        </w:rPr>
      </w:pPr>
    </w:p>
    <w:p w14:paraId="6B1F6827" w14:textId="77777777" w:rsidR="00EF6300" w:rsidRPr="008C24B6" w:rsidRDefault="00EF6300" w:rsidP="00EF6300">
      <w:pPr>
        <w:pStyle w:val="Vanligtekstbrdtekst"/>
        <w:spacing w:line="276" w:lineRule="auto"/>
        <w:rPr>
          <w:rFonts w:ascii="Proxima Nova Light" w:hAnsi="Proxima Nova Light"/>
          <w:sz w:val="18"/>
          <w:szCs w:val="18"/>
        </w:rPr>
      </w:pPr>
    </w:p>
    <w:p w14:paraId="2EEB7E81" w14:textId="7671D187" w:rsidR="00EF6300" w:rsidRPr="00CC4A8C" w:rsidRDefault="001C6E30" w:rsidP="00EF6300">
      <w:pPr>
        <w:pStyle w:val="Vanligtekstbrdtekst"/>
        <w:spacing w:line="276" w:lineRule="auto"/>
        <w:jc w:val="right"/>
        <w:rPr>
          <w:rFonts w:ascii="Proxima Nova Light" w:hAnsi="Proxima Nova Light"/>
          <w:sz w:val="18"/>
          <w:szCs w:val="18"/>
          <w:lang w:val="nn-NO"/>
        </w:rPr>
      </w:pPr>
      <w:r w:rsidRPr="00CC4A8C">
        <w:rPr>
          <w:rFonts w:ascii="Proxima Nova Light" w:hAnsi="Proxima Nova Light"/>
          <w:sz w:val="18"/>
          <w:szCs w:val="18"/>
          <w:lang w:val="nn-NO"/>
        </w:rPr>
        <w:t>Oslo</w:t>
      </w:r>
      <w:r w:rsidR="00EF6300" w:rsidRPr="00CC4A8C">
        <w:rPr>
          <w:rFonts w:ascii="Proxima Nova Light" w:hAnsi="Proxima Nova Light"/>
          <w:sz w:val="18"/>
          <w:szCs w:val="18"/>
          <w:lang w:val="nn-NO"/>
        </w:rPr>
        <w:t xml:space="preserve">, </w:t>
      </w:r>
      <w:r w:rsidR="00CC4A8C" w:rsidRPr="00CC4A8C">
        <w:rPr>
          <w:rFonts w:ascii="Proxima Nova Light" w:hAnsi="Proxima Nova Light"/>
          <w:sz w:val="18"/>
          <w:szCs w:val="18"/>
          <w:lang w:val="nn-NO"/>
        </w:rPr>
        <w:t>1</w:t>
      </w:r>
      <w:r w:rsidR="00CC4A8C">
        <w:rPr>
          <w:rFonts w:ascii="Proxima Nova Light" w:hAnsi="Proxima Nova Light"/>
          <w:sz w:val="18"/>
          <w:szCs w:val="18"/>
          <w:lang w:val="nn-NO"/>
        </w:rPr>
        <w:t>0.12.2019</w:t>
      </w:r>
    </w:p>
    <w:p w14:paraId="1B60E8B7" w14:textId="1F79607D" w:rsidR="00857815" w:rsidRDefault="00EF6300" w:rsidP="00857815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36"/>
          <w:szCs w:val="36"/>
          <w:shd w:val="clear" w:color="auto" w:fill="FFFFFF"/>
          <w:lang w:val="x-none"/>
        </w:rPr>
      </w:pPr>
      <w:r w:rsidRPr="00CC4A8C">
        <w:rPr>
          <w:rFonts w:ascii="Proxima Nova Light" w:eastAsia="Times New Roman" w:hAnsi="Proxima Nova Light" w:cs="Open Sans"/>
          <w:color w:val="000000"/>
          <w:sz w:val="36"/>
          <w:szCs w:val="36"/>
          <w:shd w:val="clear" w:color="auto" w:fill="FFFFFF"/>
          <w:lang w:val="nn-NO"/>
        </w:rPr>
        <w:br/>
      </w:r>
      <w:r w:rsidR="00CC4A8C" w:rsidRPr="00CC4A8C">
        <w:rPr>
          <w:rFonts w:ascii="Minion Pro" w:eastAsia="Times New Roman" w:hAnsi="Minion Pro" w:cs="Open Sans"/>
          <w:b/>
          <w:bCs/>
          <w:color w:val="000000"/>
          <w:sz w:val="36"/>
          <w:szCs w:val="36"/>
          <w:shd w:val="clear" w:color="auto" w:fill="FFFFFF"/>
          <w:lang w:val="nn-NO"/>
        </w:rPr>
        <w:t>A</w:t>
      </w:r>
      <w:proofErr w:type="spellStart"/>
      <w:r w:rsidR="00857815" w:rsidRPr="00CC4A8C">
        <w:rPr>
          <w:rFonts w:ascii="Minion Pro" w:eastAsia="Times New Roman" w:hAnsi="Minion Pro" w:cs="Open Sans"/>
          <w:b/>
          <w:bCs/>
          <w:color w:val="000000"/>
          <w:sz w:val="36"/>
          <w:szCs w:val="36"/>
          <w:shd w:val="clear" w:color="auto" w:fill="FFFFFF"/>
          <w:lang w:val="x-none"/>
        </w:rPr>
        <w:t>vtale</w:t>
      </w:r>
      <w:proofErr w:type="spellEnd"/>
      <w:r w:rsidR="00857815" w:rsidRPr="00CC4A8C">
        <w:rPr>
          <w:rFonts w:ascii="Minion Pro" w:eastAsia="Times New Roman" w:hAnsi="Minion Pro" w:cs="Open Sans"/>
          <w:b/>
          <w:bCs/>
          <w:color w:val="000000"/>
          <w:sz w:val="36"/>
          <w:szCs w:val="36"/>
          <w:shd w:val="clear" w:color="auto" w:fill="FFFFFF"/>
          <w:lang w:val="x-none"/>
        </w:rPr>
        <w:t xml:space="preserve"> mellom Norges Bondelag og Utviklingsfondet</w:t>
      </w:r>
    </w:p>
    <w:p w14:paraId="23756FDB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x-none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x-none"/>
        </w:rPr>
        <w:t>Formål</w:t>
      </w:r>
    </w:p>
    <w:tbl>
      <w:tblPr>
        <w:tblW w:w="10086" w:type="dxa"/>
        <w:tblLayout w:type="fixed"/>
        <w:tblLook w:val="0000" w:firstRow="0" w:lastRow="0" w:firstColumn="0" w:lastColumn="0" w:noHBand="0" w:noVBand="0"/>
      </w:tblPr>
      <w:tblGrid>
        <w:gridCol w:w="10086"/>
      </w:tblGrid>
      <w:tr w:rsidR="009A5453" w:rsidRPr="002E59FB" w14:paraId="0BB83779" w14:textId="77777777" w:rsidTr="00D7433C">
        <w:tc>
          <w:tcPr>
            <w:tcW w:w="10086" w:type="dxa"/>
          </w:tcPr>
          <w:p w14:paraId="6B50DEA0" w14:textId="77777777" w:rsidR="009A5453" w:rsidRPr="00CC4A8C" w:rsidRDefault="009A5453" w:rsidP="00D7433C">
            <w:pPr>
              <w:spacing w:line="336" w:lineRule="auto"/>
              <w:rPr>
                <w:rFonts w:ascii="Minion Pro" w:eastAsia="Times New Roman" w:hAnsi="Minion Pro" w:cs="Open Sans"/>
                <w:bCs/>
                <w:color w:val="000000"/>
                <w:sz w:val="20"/>
                <w:szCs w:val="20"/>
                <w:shd w:val="clear" w:color="auto" w:fill="FFFFFF"/>
                <w:lang w:val="nn-NO"/>
              </w:rPr>
            </w:pPr>
            <w:r w:rsidRPr="00CC4A8C">
              <w:rPr>
                <w:rFonts w:ascii="Minion Pro" w:eastAsia="Times New Roman" w:hAnsi="Minion Pro" w:cs="Open Sans"/>
                <w:bCs/>
                <w:color w:val="000000"/>
                <w:sz w:val="20"/>
                <w:szCs w:val="20"/>
                <w:shd w:val="clear" w:color="auto" w:fill="FFFFFF"/>
                <w:lang w:val="nn-NO"/>
              </w:rPr>
              <w:t>Denne avtale beskriver rammene for samarbeidet mellom Norges Bondelag, org nr. 985063001 MVA, og Utviklingsfondet, org nr. 971454369.</w:t>
            </w:r>
          </w:p>
          <w:p w14:paraId="18799790" w14:textId="77777777" w:rsidR="009A5453" w:rsidRPr="00CC4A8C" w:rsidRDefault="009A5453" w:rsidP="00D7433C">
            <w:pPr>
              <w:spacing w:line="336" w:lineRule="auto"/>
              <w:rPr>
                <w:rFonts w:ascii="Minion Pro" w:eastAsia="Times New Roman" w:hAnsi="Minion Pro" w:cs="Open Sans"/>
                <w:bCs/>
                <w:color w:val="000000"/>
                <w:sz w:val="20"/>
                <w:szCs w:val="20"/>
                <w:shd w:val="clear" w:color="auto" w:fill="FFFFFF"/>
                <w:lang w:val="nn-NO"/>
              </w:rPr>
            </w:pPr>
          </w:p>
        </w:tc>
      </w:tr>
    </w:tbl>
    <w:p w14:paraId="3534CD5D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 xml:space="preserve">Hensikten med samarbeidet er </w:t>
      </w:r>
    </w:p>
    <w:p w14:paraId="45B7294C" w14:textId="77777777" w:rsidR="009A5453" w:rsidRDefault="009A5453" w:rsidP="009A5453">
      <w:pPr>
        <w:numPr>
          <w:ilvl w:val="0"/>
          <w:numId w:val="6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For begge parter å dra nytte av hverandres erfaringer, ressurser og nettverk </w:t>
      </w: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rundt prosjektene til Utviklingsfondet for bønder i Malawi</w:t>
      </w: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EB83183" w14:textId="77777777" w:rsidR="009A5453" w:rsidRPr="00857815" w:rsidRDefault="009A5453" w:rsidP="009A5453">
      <w:pPr>
        <w:spacing w:line="336" w:lineRule="auto"/>
        <w:ind w:left="720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</w:p>
    <w:p w14:paraId="1B502D75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>For Bondelaget å:</w:t>
      </w:r>
    </w:p>
    <w:p w14:paraId="6DECA430" w14:textId="77777777" w:rsidR="009A5453" w:rsidRDefault="009A5453" w:rsidP="009A5453">
      <w:pPr>
        <w:numPr>
          <w:ilvl w:val="0"/>
          <w:numId w:val="6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bidra til økt matproduksjon og bærekraftig landbruk i Malawi, samt å øke forståelsen og kunnskapen om landbruket i andre deler av verden blant egne medlemmer. </w:t>
      </w:r>
    </w:p>
    <w:p w14:paraId="2A63B89B" w14:textId="77777777" w:rsidR="009A5453" w:rsidRPr="00857815" w:rsidRDefault="009A5453" w:rsidP="009A5453">
      <w:pPr>
        <w:spacing w:line="336" w:lineRule="auto"/>
        <w:ind w:left="720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</w:p>
    <w:p w14:paraId="4EADCCD4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>For Utviklingsfondet å:</w:t>
      </w:r>
    </w:p>
    <w:p w14:paraId="7C97B588" w14:textId="77777777" w:rsidR="009A5453" w:rsidRPr="00857815" w:rsidRDefault="009A5453" w:rsidP="009A5453">
      <w:pPr>
        <w:numPr>
          <w:ilvl w:val="0"/>
          <w:numId w:val="6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styrke Utviklingsfondets økonomiske stilling, og dermed mulighet til å oppnå langsiktige resultater i tråd med sitt formål</w:t>
      </w:r>
    </w:p>
    <w:p w14:paraId="631C1E69" w14:textId="77777777" w:rsidR="009A5453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</w:p>
    <w:p w14:paraId="48C793A9" w14:textId="779884E6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 xml:space="preserve">Samarbeidet består </w:t>
      </w:r>
      <w:r w:rsidR="0079436A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 xml:space="preserve">av </w:t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>to elementer;</w:t>
      </w:r>
    </w:p>
    <w:p w14:paraId="2B789B5A" w14:textId="77777777" w:rsidR="009A5453" w:rsidRPr="00857815" w:rsidRDefault="009A5453" w:rsidP="009A5453">
      <w:pPr>
        <w:numPr>
          <w:ilvl w:val="0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Erfaringsutveksling: Partene formulerer hvert år en plan for gjensidig erfaringsutveksling, der de tar sikte på å gjøre bruk av hverandres sterke sider. </w:t>
      </w:r>
    </w:p>
    <w:p w14:paraId="4CECA72F" w14:textId="77777777" w:rsidR="009A5453" w:rsidRDefault="009A5453" w:rsidP="009A5453">
      <w:pPr>
        <w:numPr>
          <w:ilvl w:val="1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Partene holder jevnlige møter for å se </w:t>
      </w:r>
      <w:bookmarkStart w:id="0" w:name="_GoBack"/>
      <w:bookmarkEnd w:id="0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på hvilke mulighetsrom det ligger for å støtte hverandres arbeid gjennom arrangement, nettverk, felles medieutspill </w:t>
      </w:r>
      <w:proofErr w:type="spellStart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osv</w:t>
      </w:r>
      <w:proofErr w:type="spellEnd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, utover året.</w:t>
      </w:r>
    </w:p>
    <w:p w14:paraId="2DD68799" w14:textId="77777777" w:rsidR="009A5453" w:rsidRDefault="009A5453" w:rsidP="009A5453">
      <w:pPr>
        <w:numPr>
          <w:ilvl w:val="1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Bondelaget kan på egen regning sende en gruppe av medlemmer/aktive på prosjektbesøk til Malawi, som organiseres praktisk av Utviklingsfondet hvert andre år. Første reise i 2020.</w:t>
      </w:r>
    </w:p>
    <w:p w14:paraId="5C9963BC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br w:type="page"/>
      </w:r>
    </w:p>
    <w:p w14:paraId="039414AB" w14:textId="77777777" w:rsidR="009A5453" w:rsidRPr="00857815" w:rsidRDefault="009A5453" w:rsidP="009A5453">
      <w:pPr>
        <w:numPr>
          <w:ilvl w:val="0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lastRenderedPageBreak/>
        <w:t xml:space="preserve">Økonomisk støtte: Selv om samarbeidet </w:t>
      </w:r>
      <w:proofErr w:type="gramStart"/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fokuserer</w:t>
      </w:r>
      <w:proofErr w:type="gramEnd"/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på et bestemt land, Malawi, skal den økonomiske støtten betraktes som en generell pe</w:t>
      </w: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ngestøtte til Utviklingsfondet</w:t>
      </w: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35640606" w14:textId="23D27E4E" w:rsidR="009A5453" w:rsidRPr="0079436A" w:rsidRDefault="009A5453" w:rsidP="00E71290">
      <w:pPr>
        <w:numPr>
          <w:ilvl w:val="1"/>
          <w:numId w:val="1"/>
        </w:numPr>
        <w:spacing w:line="336" w:lineRule="auto"/>
        <w:ind w:left="1416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Generell støtte til Utviklingsfondet: Støtten beløper seg til en grunnfinansiering fra Norges Bondelag på kr. 150.000 per år, samt at Bondelaget og Norges Bygdeungdomslag sammen skal jobbe for å bidra med innsamlede midler fra lokal- og fylkeslag på kr. 200.000 per år. Avtalen er på til sammen kr. 350.000 per år.</w:t>
      </w:r>
      <w:r w:rsid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</w:t>
      </w:r>
      <w:r w:rsidRP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Partene erkjenner at det er usikkerhet knyttet til realiseringen av dette målet. </w:t>
      </w:r>
      <w:r w:rsidR="0079436A" w:rsidRP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Partene skal ha jevnlig dialog for å ha oversikt over innsamlet beløp og</w:t>
      </w:r>
      <w:r w:rsid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diskuterer tiltak for </w:t>
      </w:r>
      <w:r w:rsidR="0079436A" w:rsidRP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at ambisjonen i avtalen nås</w:t>
      </w:r>
      <w:r w:rsidR="0079436A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.</w:t>
      </w:r>
    </w:p>
    <w:p w14:paraId="5947E4F3" w14:textId="77777777" w:rsidR="009A5453" w:rsidRDefault="009A5453" w:rsidP="009A5453">
      <w:pPr>
        <w:numPr>
          <w:ilvl w:val="1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60370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Utviklingsinvestorer</w:t>
      </w: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:</w:t>
      </w:r>
      <w:r w:rsidRPr="0060370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Oppfordre medlemmer og ansatte til å bli utviklingsinvestorer (faste givere til Utviklingsfondet). Disse midlene vil komme i tillegg til det garanterte minstebeløpet. I dette arbeidet garanterer Bondelaget plass i minimum 2 nyhetsbrev i året med innsalg til utviklingsinvestor, som partene samarbeider om. Andre kanaler som bidra til dette utforskes i samarbeid og avtales gjennom året. </w:t>
      </w:r>
    </w:p>
    <w:p w14:paraId="36273723" w14:textId="77777777" w:rsidR="009A5453" w:rsidRDefault="009A5453" w:rsidP="009A5453">
      <w:pPr>
        <w:numPr>
          <w:ilvl w:val="1"/>
          <w:numId w:val="1"/>
        </w:num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Midlene som Norges Bondelag og Norges Bygdeungdomslag samler inn overføres til </w:t>
      </w:r>
      <w:proofErr w:type="gramStart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Utviklingsfondet,  fortrinnsvis</w:t>
      </w:r>
      <w:proofErr w:type="gramEnd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via Vipps eller til konto nummer 1503.21.17675. Det kan også oppfordres til at medlemmene benytter Facebook </w:t>
      </w:r>
      <w:proofErr w:type="spellStart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donations</w:t>
      </w:r>
      <w:proofErr w:type="spellEnd"/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som kanal i innsamlingsarbeidet. </w:t>
      </w:r>
    </w:p>
    <w:p w14:paraId="197B1308" w14:textId="77777777" w:rsidR="009A5453" w:rsidRPr="00603705" w:rsidRDefault="009A5453" w:rsidP="009A5453">
      <w:pPr>
        <w:spacing w:line="336" w:lineRule="auto"/>
        <w:ind w:left="1440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</w:p>
    <w:p w14:paraId="2195E12A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x-none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x-none"/>
        </w:rPr>
        <w:t>Avtalens gyldighet</w:t>
      </w:r>
    </w:p>
    <w:p w14:paraId="0DEBD822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Avtalen har varighet fra 01.01.20</w:t>
      </w: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20</w:t>
      </w: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 – 31.12.2</w:t>
      </w:r>
      <w:r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023</w:t>
      </w: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2BCF5BF5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Cs/>
          <w:color w:val="000000"/>
          <w:sz w:val="20"/>
          <w:szCs w:val="20"/>
          <w:shd w:val="clear" w:color="auto" w:fill="FFFFFF"/>
        </w:rPr>
        <w:t>Dersom Utviklingsfondet avslutter sitt program i Malawi innenfor denne perioden, står Bondelaget fritt til å velge et annet av Utviklingsfondets programland som sitt fokusland, eventuelt å avslutte samarbeidet.</w:t>
      </w:r>
    </w:p>
    <w:p w14:paraId="4D07840B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x-none"/>
        </w:rPr>
      </w:pPr>
    </w:p>
    <w:p w14:paraId="3461831F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</w:p>
    <w:p w14:paraId="1BF01009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</w:p>
    <w:p w14:paraId="63A3DF97" w14:textId="77777777" w:rsidR="009A5453" w:rsidRPr="00CC4A8C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</w:pP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>For Norges Bondelag</w:t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  <w:t>For Utviklingsfondet</w:t>
      </w:r>
    </w:p>
    <w:p w14:paraId="20C59825" w14:textId="77777777" w:rsidR="009A5453" w:rsidRPr="00CC4A8C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</w:pP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CC4A8C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</w:p>
    <w:p w14:paraId="576A99AF" w14:textId="77777777" w:rsidR="009A5453" w:rsidRPr="009A5453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</w:pP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>Sigrid Hjørnegård</w:t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</w:r>
      <w:r w:rsidRPr="009A5453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  <w:lang w:val="nn-NO"/>
        </w:rPr>
        <w:tab/>
        <w:t>Jan Thomas Odegard</w:t>
      </w:r>
    </w:p>
    <w:p w14:paraId="2F96AB09" w14:textId="77777777" w:rsidR="009A5453" w:rsidRPr="00857815" w:rsidRDefault="009A5453" w:rsidP="009A5453">
      <w:pPr>
        <w:spacing w:line="336" w:lineRule="auto"/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</w:pP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>Generalsekretær</w:t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ab/>
      </w:r>
      <w:r w:rsidRPr="00857815">
        <w:rPr>
          <w:rFonts w:ascii="Minion Pro" w:eastAsia="Times New Roman" w:hAnsi="Minion Pro" w:cs="Open Sans"/>
          <w:b/>
          <w:bCs/>
          <w:color w:val="000000"/>
          <w:sz w:val="20"/>
          <w:szCs w:val="20"/>
          <w:shd w:val="clear" w:color="auto" w:fill="FFFFFF"/>
        </w:rPr>
        <w:t>Daglig leder</w:t>
      </w:r>
    </w:p>
    <w:p w14:paraId="482AAECB" w14:textId="77777777" w:rsidR="00EF6300" w:rsidRPr="00CD5753" w:rsidRDefault="00EF6300" w:rsidP="001C6E30">
      <w:pPr>
        <w:spacing w:line="336" w:lineRule="auto"/>
        <w:rPr>
          <w:rFonts w:ascii="Proxima Nova Light" w:hAnsi="Proxima Nova Light"/>
          <w:sz w:val="22"/>
          <w:szCs w:val="22"/>
        </w:rPr>
      </w:pPr>
    </w:p>
    <w:p w14:paraId="28807E5C" w14:textId="77777777" w:rsidR="00EF6300" w:rsidRPr="005E7A34" w:rsidRDefault="00EF6300" w:rsidP="00EF6300">
      <w:pPr>
        <w:spacing w:line="276" w:lineRule="auto"/>
        <w:rPr>
          <w:rFonts w:ascii="Proxima Nova Light" w:hAnsi="Proxima Nova Light"/>
          <w:sz w:val="18"/>
          <w:szCs w:val="18"/>
        </w:rPr>
      </w:pPr>
    </w:p>
    <w:p w14:paraId="647C5661" w14:textId="77777777" w:rsidR="00EF6300" w:rsidRPr="005E7A34" w:rsidRDefault="00EF6300" w:rsidP="00EF6300"/>
    <w:p w14:paraId="110AA19B" w14:textId="77777777" w:rsidR="00EF6300" w:rsidRDefault="00EF6300" w:rsidP="00EF6300"/>
    <w:p w14:paraId="5FE66D08" w14:textId="77777777" w:rsidR="002F6412" w:rsidRPr="00240871" w:rsidRDefault="002F6412" w:rsidP="00240871"/>
    <w:sectPr w:rsidR="002F6412" w:rsidRPr="00240871" w:rsidSect="00F710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80B9" w14:textId="77777777" w:rsidR="00987039" w:rsidRDefault="00987039" w:rsidP="00240871">
      <w:r>
        <w:separator/>
      </w:r>
    </w:p>
  </w:endnote>
  <w:endnote w:type="continuationSeparator" w:id="0">
    <w:p w14:paraId="7D92B7D6" w14:textId="77777777" w:rsidR="00987039" w:rsidRDefault="00987039" w:rsidP="0024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Tahom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0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1701"/>
      <w:gridCol w:w="2268"/>
      <w:gridCol w:w="1559"/>
      <w:gridCol w:w="1701"/>
      <w:gridCol w:w="851"/>
    </w:tblGrid>
    <w:tr w:rsidR="00240871" w:rsidRPr="00240871" w14:paraId="3196CAEB" w14:textId="77777777" w:rsidTr="00240871">
      <w:trPr>
        <w:trHeight w:val="47"/>
      </w:trPr>
      <w:tc>
        <w:tcPr>
          <w:tcW w:w="2260" w:type="dxa"/>
          <w:noWrap/>
          <w:hideMark/>
        </w:tcPr>
        <w:p w14:paraId="4D655C29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Utviklingsfondet                               </w:t>
          </w:r>
        </w:p>
      </w:tc>
      <w:tc>
        <w:tcPr>
          <w:tcW w:w="1701" w:type="dxa"/>
          <w:noWrap/>
          <w:hideMark/>
        </w:tcPr>
        <w:p w14:paraId="448D6125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Telefon                    </w:t>
          </w:r>
        </w:p>
      </w:tc>
      <w:tc>
        <w:tcPr>
          <w:tcW w:w="2268" w:type="dxa"/>
          <w:noWrap/>
          <w:hideMark/>
        </w:tcPr>
        <w:p w14:paraId="7ED49085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E-post                                            </w:t>
          </w:r>
        </w:p>
      </w:tc>
      <w:tc>
        <w:tcPr>
          <w:tcW w:w="1559" w:type="dxa"/>
          <w:noWrap/>
          <w:hideMark/>
        </w:tcPr>
        <w:p w14:paraId="3BB9347B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Org.nr.                      </w:t>
          </w:r>
        </w:p>
      </w:tc>
      <w:tc>
        <w:tcPr>
          <w:tcW w:w="1701" w:type="dxa"/>
          <w:noWrap/>
          <w:hideMark/>
        </w:tcPr>
        <w:p w14:paraId="4B1F1764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Giverkonto </w:t>
          </w:r>
        </w:p>
      </w:tc>
      <w:tc>
        <w:tcPr>
          <w:tcW w:w="851" w:type="dxa"/>
          <w:vMerge w:val="restart"/>
          <w:noWrap/>
          <w:hideMark/>
        </w:tcPr>
        <w:p w14:paraId="02D146D3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noProof/>
              <w:sz w:val="16"/>
              <w:szCs w:val="16"/>
              <w:lang w:eastAsia="nb-NO"/>
            </w:rPr>
            <w:drawing>
              <wp:inline distT="0" distB="0" distL="0" distR="0" wp14:anchorId="0084F965" wp14:editId="086042EE">
                <wp:extent cx="193431" cy="247430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77" cy="2636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0871" w:rsidRPr="00240871" w14:paraId="58AA827F" w14:textId="77777777" w:rsidTr="00240871">
      <w:trPr>
        <w:trHeight w:val="146"/>
      </w:trPr>
      <w:tc>
        <w:tcPr>
          <w:tcW w:w="2260" w:type="dxa"/>
          <w:noWrap/>
          <w:hideMark/>
        </w:tcPr>
        <w:p w14:paraId="00F3710B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Mariboes gate 8, 0183 Oslo             </w:t>
          </w:r>
        </w:p>
      </w:tc>
      <w:tc>
        <w:tcPr>
          <w:tcW w:w="1701" w:type="dxa"/>
          <w:noWrap/>
          <w:hideMark/>
        </w:tcPr>
        <w:p w14:paraId="16446B0C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23 10 96 00             </w:t>
          </w:r>
        </w:p>
      </w:tc>
      <w:tc>
        <w:tcPr>
          <w:tcW w:w="2268" w:type="dxa"/>
          <w:noWrap/>
          <w:hideMark/>
        </w:tcPr>
        <w:p w14:paraId="59CB59BD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post@utviklingsfondet.no             </w:t>
          </w:r>
        </w:p>
      </w:tc>
      <w:tc>
        <w:tcPr>
          <w:tcW w:w="1559" w:type="dxa"/>
          <w:noWrap/>
          <w:hideMark/>
        </w:tcPr>
        <w:p w14:paraId="693E9DB5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 xml:space="preserve">971 454 369             </w:t>
          </w:r>
        </w:p>
      </w:tc>
      <w:tc>
        <w:tcPr>
          <w:tcW w:w="1701" w:type="dxa"/>
          <w:noWrap/>
          <w:hideMark/>
        </w:tcPr>
        <w:p w14:paraId="22351C72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240871">
            <w:rPr>
              <w:rFonts w:ascii="Minion Pro" w:hAnsi="Minion Pro"/>
              <w:sz w:val="16"/>
              <w:szCs w:val="16"/>
            </w:rPr>
            <w:t>5005 15 10000</w:t>
          </w:r>
        </w:p>
      </w:tc>
      <w:tc>
        <w:tcPr>
          <w:tcW w:w="851" w:type="dxa"/>
          <w:vMerge/>
          <w:hideMark/>
        </w:tcPr>
        <w:p w14:paraId="6A910645" w14:textId="77777777" w:rsidR="00240871" w:rsidRPr="00240871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</w:p>
      </w:tc>
    </w:tr>
  </w:tbl>
  <w:p w14:paraId="205D1E87" w14:textId="77777777" w:rsidR="00240871" w:rsidRPr="00240871" w:rsidRDefault="00240871">
    <w:pPr>
      <w:pStyle w:val="Bunntekst"/>
      <w:rPr>
        <w:rFonts w:ascii="Minion Pro" w:hAnsi="Minion Pr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0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1701"/>
      <w:gridCol w:w="2268"/>
      <w:gridCol w:w="1559"/>
      <w:gridCol w:w="1701"/>
      <w:gridCol w:w="851"/>
    </w:tblGrid>
    <w:tr w:rsidR="00240871" w:rsidRPr="00F71030" w14:paraId="540A277D" w14:textId="77777777" w:rsidTr="005D6E93">
      <w:trPr>
        <w:trHeight w:val="47"/>
      </w:trPr>
      <w:tc>
        <w:tcPr>
          <w:tcW w:w="2260" w:type="dxa"/>
          <w:noWrap/>
          <w:hideMark/>
        </w:tcPr>
        <w:p w14:paraId="50365658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Utviklingsfondet                               </w:t>
          </w:r>
        </w:p>
      </w:tc>
      <w:tc>
        <w:tcPr>
          <w:tcW w:w="1701" w:type="dxa"/>
          <w:noWrap/>
          <w:hideMark/>
        </w:tcPr>
        <w:p w14:paraId="4F9B5658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Telefon                    </w:t>
          </w:r>
        </w:p>
      </w:tc>
      <w:tc>
        <w:tcPr>
          <w:tcW w:w="2268" w:type="dxa"/>
          <w:noWrap/>
          <w:hideMark/>
        </w:tcPr>
        <w:p w14:paraId="154C48C9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E-post                                            </w:t>
          </w:r>
        </w:p>
      </w:tc>
      <w:tc>
        <w:tcPr>
          <w:tcW w:w="1559" w:type="dxa"/>
          <w:noWrap/>
          <w:hideMark/>
        </w:tcPr>
        <w:p w14:paraId="2A910031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Org.nr.                      </w:t>
          </w:r>
        </w:p>
      </w:tc>
      <w:tc>
        <w:tcPr>
          <w:tcW w:w="1701" w:type="dxa"/>
          <w:noWrap/>
          <w:hideMark/>
        </w:tcPr>
        <w:p w14:paraId="17C121FC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Giverkonto </w:t>
          </w:r>
        </w:p>
      </w:tc>
      <w:tc>
        <w:tcPr>
          <w:tcW w:w="851" w:type="dxa"/>
          <w:vMerge w:val="restart"/>
          <w:noWrap/>
          <w:hideMark/>
        </w:tcPr>
        <w:p w14:paraId="67416D47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noProof/>
              <w:sz w:val="16"/>
              <w:szCs w:val="16"/>
              <w:lang w:eastAsia="nb-NO"/>
            </w:rPr>
            <w:drawing>
              <wp:inline distT="0" distB="0" distL="0" distR="0" wp14:anchorId="4A281165" wp14:editId="7E303D3C">
                <wp:extent cx="205941" cy="263606"/>
                <wp:effectExtent l="0" t="0" r="3810" b="3175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41" cy="2636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0871" w:rsidRPr="00F71030" w14:paraId="19448E5A" w14:textId="77777777" w:rsidTr="005D6E93">
      <w:trPr>
        <w:trHeight w:val="146"/>
      </w:trPr>
      <w:tc>
        <w:tcPr>
          <w:tcW w:w="2260" w:type="dxa"/>
          <w:noWrap/>
          <w:hideMark/>
        </w:tcPr>
        <w:p w14:paraId="2499D96D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Mariboes gate 8, 0183 Oslo             </w:t>
          </w:r>
        </w:p>
      </w:tc>
      <w:tc>
        <w:tcPr>
          <w:tcW w:w="1701" w:type="dxa"/>
          <w:noWrap/>
          <w:hideMark/>
        </w:tcPr>
        <w:p w14:paraId="3D36FD78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23 10 96 00             </w:t>
          </w:r>
        </w:p>
      </w:tc>
      <w:tc>
        <w:tcPr>
          <w:tcW w:w="2268" w:type="dxa"/>
          <w:noWrap/>
          <w:hideMark/>
        </w:tcPr>
        <w:p w14:paraId="01A6BA64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post@utviklingsfondet.no             </w:t>
          </w:r>
        </w:p>
      </w:tc>
      <w:tc>
        <w:tcPr>
          <w:tcW w:w="1559" w:type="dxa"/>
          <w:noWrap/>
          <w:hideMark/>
        </w:tcPr>
        <w:p w14:paraId="744940FA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 xml:space="preserve">971 454 369             </w:t>
          </w:r>
        </w:p>
      </w:tc>
      <w:tc>
        <w:tcPr>
          <w:tcW w:w="1701" w:type="dxa"/>
          <w:noWrap/>
          <w:hideMark/>
        </w:tcPr>
        <w:p w14:paraId="394EAEEF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  <w:r w:rsidRPr="00F71030">
            <w:rPr>
              <w:rFonts w:ascii="Minion Pro" w:hAnsi="Minion Pro"/>
              <w:sz w:val="16"/>
              <w:szCs w:val="16"/>
            </w:rPr>
            <w:t>5005 15 10000</w:t>
          </w:r>
        </w:p>
      </w:tc>
      <w:tc>
        <w:tcPr>
          <w:tcW w:w="851" w:type="dxa"/>
          <w:vMerge/>
          <w:hideMark/>
        </w:tcPr>
        <w:p w14:paraId="1A99CC6F" w14:textId="77777777" w:rsidR="00240871" w:rsidRPr="00F71030" w:rsidRDefault="00240871" w:rsidP="00240871">
          <w:pPr>
            <w:pStyle w:val="Bunntekst"/>
            <w:rPr>
              <w:rFonts w:ascii="Minion Pro" w:hAnsi="Minion Pro"/>
              <w:sz w:val="16"/>
              <w:szCs w:val="16"/>
            </w:rPr>
          </w:pPr>
        </w:p>
      </w:tc>
    </w:tr>
  </w:tbl>
  <w:p w14:paraId="7615C5DE" w14:textId="77777777" w:rsidR="00240871" w:rsidRPr="00F71030" w:rsidRDefault="00240871">
    <w:pPr>
      <w:pStyle w:val="Bunntekst"/>
      <w:rPr>
        <w:rFonts w:ascii="Minion Pro" w:hAnsi="Minion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329E" w14:textId="77777777" w:rsidR="00987039" w:rsidRDefault="00987039" w:rsidP="00240871">
      <w:r>
        <w:separator/>
      </w:r>
    </w:p>
  </w:footnote>
  <w:footnote w:type="continuationSeparator" w:id="0">
    <w:p w14:paraId="6CFAD2DE" w14:textId="77777777" w:rsidR="00987039" w:rsidRDefault="00987039" w:rsidP="0024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30F9" w14:textId="77777777" w:rsidR="00240871" w:rsidRDefault="00240871" w:rsidP="00240871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2672" w14:textId="6B5F78EA" w:rsidR="00240871" w:rsidRDefault="00CC4A8C" w:rsidP="00CC4A8C">
    <w:pPr>
      <w:pStyle w:val="Topptekst"/>
    </w:pPr>
    <w:r>
      <w:rPr>
        <w:noProof/>
      </w:rPr>
      <w:drawing>
        <wp:inline distT="0" distB="0" distL="0" distR="0" wp14:anchorId="3C3B193B" wp14:editId="4243B869">
          <wp:extent cx="1231762" cy="700702"/>
          <wp:effectExtent l="0" t="0" r="6985" b="4445"/>
          <wp:docPr id="5" name="Picture 2" descr="http://www.bondelaget.no/getfile.php/Logo/Logo_cmyk%20%5BConverted%5D.jpg">
            <a:extLst xmlns:a="http://schemas.openxmlformats.org/drawingml/2006/main">
              <a:ext uri="{FF2B5EF4-FFF2-40B4-BE49-F238E27FC236}">
                <a16:creationId xmlns:a16="http://schemas.microsoft.com/office/drawing/2014/main" id="{593FCC44-EB9D-4D67-A872-90CCCA7CF2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bondelaget.no/getfile.php/Logo/Logo_cmyk%20%5BConverted%5D.jpg">
                    <a:extLst>
                      <a:ext uri="{FF2B5EF4-FFF2-40B4-BE49-F238E27FC236}">
                        <a16:creationId xmlns:a16="http://schemas.microsoft.com/office/drawing/2014/main" id="{593FCC44-EB9D-4D67-A872-90CCCA7CF2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62" cy="700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48AE9235" wp14:editId="6C2BD5FD">
          <wp:extent cx="1752600" cy="371475"/>
          <wp:effectExtent l="0" t="0" r="0" b="9525"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BC2"/>
    <w:multiLevelType w:val="hybridMultilevel"/>
    <w:tmpl w:val="BD6A4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60C"/>
    <w:multiLevelType w:val="hybridMultilevel"/>
    <w:tmpl w:val="D69A7DC4"/>
    <w:lvl w:ilvl="0" w:tplc="D0FE5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EB73AB"/>
    <w:multiLevelType w:val="hybridMultilevel"/>
    <w:tmpl w:val="9506AA4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D5D"/>
    <w:multiLevelType w:val="hybridMultilevel"/>
    <w:tmpl w:val="81F89400"/>
    <w:lvl w:ilvl="0" w:tplc="04140019">
      <w:start w:val="1"/>
      <w:numFmt w:val="lowerLetter"/>
      <w:lvlText w:val="%1."/>
      <w:lvlJc w:val="left"/>
      <w:pPr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59A1A69"/>
    <w:multiLevelType w:val="hybridMultilevel"/>
    <w:tmpl w:val="CA2475FC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71"/>
    <w:rsid w:val="00101332"/>
    <w:rsid w:val="001757CD"/>
    <w:rsid w:val="001C6E30"/>
    <w:rsid w:val="00240871"/>
    <w:rsid w:val="002E59FB"/>
    <w:rsid w:val="002F6412"/>
    <w:rsid w:val="00357B3A"/>
    <w:rsid w:val="003639FE"/>
    <w:rsid w:val="004235CF"/>
    <w:rsid w:val="004242BD"/>
    <w:rsid w:val="004A33CD"/>
    <w:rsid w:val="004F58F8"/>
    <w:rsid w:val="005D28C7"/>
    <w:rsid w:val="00603705"/>
    <w:rsid w:val="00754682"/>
    <w:rsid w:val="0079436A"/>
    <w:rsid w:val="00857815"/>
    <w:rsid w:val="008E0820"/>
    <w:rsid w:val="00900929"/>
    <w:rsid w:val="0092261B"/>
    <w:rsid w:val="00961D35"/>
    <w:rsid w:val="009736DE"/>
    <w:rsid w:val="00987039"/>
    <w:rsid w:val="009A5453"/>
    <w:rsid w:val="009F192C"/>
    <w:rsid w:val="00BF7779"/>
    <w:rsid w:val="00C149E5"/>
    <w:rsid w:val="00CC4A8C"/>
    <w:rsid w:val="00EF6300"/>
    <w:rsid w:val="00F71030"/>
    <w:rsid w:val="00F942C2"/>
    <w:rsid w:val="00FA7012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1D59F9"/>
  <w15:chartTrackingRefBased/>
  <w15:docId w15:val="{2604A63D-6B9B-405A-954A-E133ADE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00"/>
    <w:pPr>
      <w:spacing w:after="0" w:line="240" w:lineRule="auto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C6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087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40871"/>
  </w:style>
  <w:style w:type="paragraph" w:styleId="Bunntekst">
    <w:name w:val="footer"/>
    <w:basedOn w:val="Normal"/>
    <w:link w:val="BunntekstTegn"/>
    <w:uiPriority w:val="99"/>
    <w:unhideWhenUsed/>
    <w:rsid w:val="00240871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40871"/>
  </w:style>
  <w:style w:type="table" w:styleId="Tabellrutenett">
    <w:name w:val="Table Grid"/>
    <w:basedOn w:val="Vanligtabell"/>
    <w:uiPriority w:val="3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nligtekstbrdtekst">
    <w:name w:val="Vanlig tekst/brødtekst"/>
    <w:basedOn w:val="Normal"/>
    <w:rsid w:val="00EF6300"/>
    <w:rPr>
      <w:rFonts w:ascii="Arial" w:eastAsia="SimSun" w:hAnsi="Arial" w:cs="Times New Roman"/>
      <w:sz w:val="22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4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2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C6E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99"/>
    <w:qFormat/>
    <w:rsid w:val="001C6E30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61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6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61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6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Utviklingsfondet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Maqbul</dc:creator>
  <cp:keywords/>
  <dc:description/>
  <cp:lastModifiedBy>Astrid Solberg</cp:lastModifiedBy>
  <cp:revision>3</cp:revision>
  <cp:lastPrinted>2019-12-20T12:08:00Z</cp:lastPrinted>
  <dcterms:created xsi:type="dcterms:W3CDTF">2019-12-20T11:39:00Z</dcterms:created>
  <dcterms:modified xsi:type="dcterms:W3CDTF">2019-12-20T12:11:00Z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p360.bondelaget.no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753674</vt:lpwstr>
  </property>
  <property fmtid="{D5CDD505-2E9C-101B-9397-08002B2CF9AE}" pid="7" name="VerID">
    <vt:lpwstr>0</vt:lpwstr>
  </property>
  <property fmtid="{D5CDD505-2E9C-101B-9397-08002B2CF9AE}" pid="8" name="FilePath">
    <vt:lpwstr>\\OSL-PUBLIC-360\360users\work\bs\asolberg</vt:lpwstr>
  </property>
  <property fmtid="{D5CDD505-2E9C-101B-9397-08002B2CF9AE}" pid="9" name="FileName">
    <vt:lpwstr>12-01151-142 Avtale med Utviklingsfondet 2020 - 2023 753674_585884_0.DOCX</vt:lpwstr>
  </property>
  <property fmtid="{D5CDD505-2E9C-101B-9397-08002B2CF9AE}" pid="10" name="FullFileName">
    <vt:lpwstr>\\OSL-PUBLIC-360\360users\work\bs\asolberg\12-01151-142 Avtale med Utviklingsfondet 2020 - 2023 753674_585884_0.DOCX</vt:lpwstr>
  </property>
</Properties>
</file>