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Undersøkelse blant gårdbrukere om landbrukspolitikk</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I perioden 5. august til 16. august 2013 ble det gjennomført en spørreundersøkelse blant norske gårdbrukere. Henvendelsen ble sendt ut til totalt 3590 respondenter. I løpet av perioden ble det sendt ut én påminning om undersøkelsen.  Da resultatene ble tatt inn var det kommet 865 svar, noe som tilsvarer en svarprosent på 24. Dette er en noe lavere svarprosent enn vi vanligvis oppnår ved e-postundersøkelser, men undersøkelsen ble utført på et tidspunkt hvor mange er travelt opptatt med gårdsarbeid, og hvor mange også legger ferien sin. </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 xml:space="preserve">Utvalget er trukket for å sikre at det er minst 100 respondenter i hver av landsdelene som vi har valgt å se nærmere på. Disse er Nord-Norge, Trøndelag, Vestlandet, Rogaland, Sør-Norge og Østlandet. De ulike partienes landbrukspolitikk har ulik virkning i ulike deler av landet, og derfor ble utvalgene trukket med formålet å få sikre at alle landsdeler ble tilstrekkelig representert. Derfor må vi vekte for å finne hvordan fordelingen i svarene ville vært hvis det hadde blitt trukket et tilfeldig utvalg for hele landet.  </w:t>
      </w:r>
    </w:p>
    <w:tbl>
      <w:tblPr>
        <w:tblW w:w="0" w:type="auto"/>
        <w:tblInd w:w="5" w:type="dxa"/>
        <w:tblLayout w:type="fixed"/>
        <w:tblLook w:val="0000"/>
      </w:tblPr>
      <w:tblGrid>
        <w:gridCol w:w="1784"/>
        <w:gridCol w:w="1604"/>
        <w:gridCol w:w="1317"/>
        <w:gridCol w:w="1657"/>
        <w:gridCol w:w="1440"/>
        <w:gridCol w:w="1251"/>
      </w:tblGrid>
      <w:tr w:rsidR="00127CBA" w:rsidTr="00E875F6">
        <w:trPr>
          <w:cantSplit/>
          <w:trHeight w:val="52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Trukket utvalg</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Svar avgitt</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Svarprosent</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Totalt univers</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Vekt</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Nord-Norge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125</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21</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3814</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0,583</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Trøndelag</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115</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19</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6493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1,079</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Vestlandet</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152</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25</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9266</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1,165</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Rogaland</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153</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26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4609</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0,575</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Sør-Norge</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164</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27</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3383</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0,394</w:t>
            </w:r>
          </w:p>
        </w:tc>
      </w:tr>
      <w:tr w:rsidR="00127CBA" w:rsidTr="00E875F6">
        <w:trPr>
          <w:cantSplit/>
          <w:trHeight w:val="33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Østlandet</w:t>
            </w: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r>
              <w:t>600</w:t>
            </w: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r>
              <w:t>145</w:t>
            </w: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r>
              <w:t>24</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r>
              <w:t>17108</w:t>
            </w: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r>
              <w:t>2,255</w:t>
            </w:r>
          </w:p>
        </w:tc>
      </w:tr>
      <w:tr w:rsidR="00127CBA" w:rsidTr="00E875F6">
        <w:trPr>
          <w:cantSplit/>
          <w:trHeight w:val="260"/>
        </w:trPr>
        <w:tc>
          <w:tcPr>
            <w:tcW w:w="1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31680"/>
                <w:tab w:val="left" w:pos="-31552"/>
                <w:tab w:val="left" w:pos="-30844"/>
                <w:tab w:val="left" w:pos="-301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60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pPr>
          </w:p>
        </w:tc>
        <w:tc>
          <w:tcPr>
            <w:tcW w:w="1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s>
            </w:pPr>
          </w:p>
        </w:tc>
        <w:tc>
          <w:tcPr>
            <w:tcW w:w="165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 w:val="left" w:pos="31680"/>
              </w:tabs>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pPr>
          </w:p>
        </w:tc>
        <w:tc>
          <w:tcPr>
            <w:tcW w:w="12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127CBA" w:rsidRDefault="00127CBA" w:rsidP="00E875F6">
            <w:pPr>
              <w:pStyle w:val="Tabellrutenett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s>
            </w:pPr>
          </w:p>
        </w:tc>
      </w:tr>
    </w:tbl>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Politiske alternativer</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I undersøkelsen blir gårdbrukerne bedt om å ta stilling til ulike sider ved ulike politiske partiers landbrukspolitikk. Responden</w:t>
      </w:r>
      <w:r w:rsidR="00EF5A0D">
        <w:t>t</w:t>
      </w:r>
      <w:r>
        <w:t>e</w:t>
      </w:r>
      <w:r w:rsidR="00EF5A0D">
        <w:t>ne</w:t>
      </w:r>
      <w:r>
        <w:t xml:space="preserve"> blir også bedt om å vurdere hvorvidt de ulike politiske tiltakene vil virke positivt eller negativt inn på deres bruk, og hvordan de tror at de vil utvikle driften videre på bruket dersom partienes samlede politikk danner grunnlaget for rammebetingelsene til jordbruket. </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Det ble valgt å se på tre alternativer:</w:t>
      </w:r>
    </w:p>
    <w:p w:rsidR="00127CBA" w:rsidRDefault="00127CBA" w:rsidP="00127CB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180"/>
        <w:rPr>
          <w:position w:val="-2"/>
        </w:rPr>
      </w:pPr>
      <w:r>
        <w:t>Dagens regjerings politikk (ikke hvert av regjeringspartiene enkeltvis)</w:t>
      </w:r>
    </w:p>
    <w:p w:rsidR="00127CBA" w:rsidRDefault="00127CBA" w:rsidP="00127CB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180"/>
        <w:rPr>
          <w:position w:val="-2"/>
        </w:rPr>
      </w:pPr>
      <w:r>
        <w:t>Høyres landbrukspolitikk</w:t>
      </w:r>
    </w:p>
    <w:p w:rsidR="00127CBA" w:rsidRDefault="00127CBA" w:rsidP="00127CBA">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hanging="180"/>
        <w:rPr>
          <w:position w:val="-2"/>
        </w:rPr>
      </w:pPr>
      <w:r>
        <w:t>Fremskrittspartiets politikk</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Årsaken til at Høyres og Fremskrittspartiets politikk ble tatt hver for seg, er fordi det er ganske stort sprik blant de fire borgerlige partiene når de</w:t>
      </w:r>
      <w:r w:rsidR="00EF5A0D">
        <w:t>t gjelder landbrukspolitikk.  For eksempel</w:t>
      </w:r>
      <w:r>
        <w:t xml:space="preserve"> ligger Kristelig Folkepartis politikk svært opp til dagens regjering, mens Venstre befinner seg i en mellomposisjon. Samtidig innebærer Fremskrittspartiets politikk atskillig større endringer for landbruket enn Høyres, og Høyre er det største av de borgerlige partiene. Hvilken politikk de borgerlige partiene eventuelt vil føre dersom de danner regjering etter valget vet man da enda ikke. De tre regjeringspartiene har </w:t>
      </w:r>
      <w:r>
        <w:lastRenderedPageBreak/>
        <w:t>derimot sittet i regjering i åtte år, og det er enklere å se hvor kompromissene har stått, og de tre står sammen om Meld. St.</w:t>
      </w:r>
      <w:r w:rsidR="0028147F">
        <w:t xml:space="preserve"> 9</w:t>
      </w:r>
      <w:r>
        <w:t xml:space="preserve"> (2011/2012).</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b/>
        </w:rPr>
        <w:t>Operasjonalisering av politikk</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For at bøndene skal kunne ta stilling til de ulike partienes politikk har det vært nødvendig å isolere et utvalg politiske elementer hvor alternativene skiller lag.</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De rødgrønnes landbrukspolitikk har ligget til grunn for hvordan landbruket har blitt styrt de siste åtte årene, og de tre partienes felles politikk er beskrevet i den nevnt</w:t>
      </w:r>
      <w:r w:rsidR="00B46E00">
        <w:t>e</w:t>
      </w:r>
      <w:r>
        <w:t xml:space="preserve"> Meld. St. 9. (2011/2012). Når det gjelder H/FrPs landbrukspolitikk har tilgjengelige kilder vært partienes programmer </w:t>
      </w:r>
      <w:r w:rsidR="00DA3775">
        <w:t>for stortingsvalg, alternative s</w:t>
      </w:r>
      <w:r>
        <w:t xml:space="preserve">tatsbudsjett, Høyres alternative landbruksmelding og uttalelser til media. </w:t>
      </w:r>
    </w:p>
    <w:p w:rsidR="00127CBA" w:rsidRDefault="00127CBA" w:rsidP="00127C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t>For å kunne måle den politikken som er mest oppdatert og forankret i Høyre og FrP har partiprogrammene vært hovedkilden, men i flere av spørsmålene som er helt avgjørende for dagens landbruk er formuleringene i programmene runde og lite</w:t>
      </w:r>
      <w:r w:rsidR="00EF5A0D">
        <w:t xml:space="preserve"> konkrete. I disse tilfellene har det vært nødvendig å benytte seg av de øvrige kildene som her er nevnt. </w:t>
      </w:r>
      <w:r>
        <w:t xml:space="preserve"> </w:t>
      </w:r>
    </w:p>
    <w:p w:rsidR="00BC291D" w:rsidRDefault="00BC291D">
      <w:r>
        <w:t>Elementene i de ulike partienes politikk som vi har sett på er følgende:</w:t>
      </w:r>
    </w:p>
    <w:p w:rsidR="00E84D30" w:rsidRDefault="00E84D30">
      <w:r>
        <w:rPr>
          <w:rStyle w:val="iewrap"/>
          <w:rFonts w:ascii="Arial" w:hAnsi="Arial" w:cs="Arial"/>
          <w:b/>
          <w:bCs/>
          <w:color w:val="444444"/>
        </w:rPr>
        <w:t>Hvordan tror du de ulike elementene i landbrukspolitikken til xx vil virke inn på ditt bruk hvis de blir gjennomført? Svar på en skala fra 1 til 5 der 1 er svært positivt og 5 er svært negativt.</w:t>
      </w:r>
    </w:p>
    <w:tbl>
      <w:tblPr>
        <w:tblStyle w:val="Tabellrutenett"/>
        <w:tblW w:w="0" w:type="auto"/>
        <w:tblLook w:val="04A0"/>
      </w:tblPr>
      <w:tblGrid>
        <w:gridCol w:w="2235"/>
        <w:gridCol w:w="2207"/>
        <w:gridCol w:w="2246"/>
        <w:gridCol w:w="2600"/>
      </w:tblGrid>
      <w:tr w:rsidR="00BC291D" w:rsidTr="00BC291D">
        <w:tc>
          <w:tcPr>
            <w:tcW w:w="2303" w:type="dxa"/>
          </w:tcPr>
          <w:p w:rsidR="00BC291D" w:rsidRDefault="00BC291D"/>
        </w:tc>
        <w:tc>
          <w:tcPr>
            <w:tcW w:w="2303" w:type="dxa"/>
          </w:tcPr>
          <w:p w:rsidR="00BC291D" w:rsidRDefault="00BC291D">
            <w:r>
              <w:t>Regjeringspartienes</w:t>
            </w:r>
          </w:p>
        </w:tc>
        <w:tc>
          <w:tcPr>
            <w:tcW w:w="2303" w:type="dxa"/>
          </w:tcPr>
          <w:p w:rsidR="00BC291D" w:rsidRDefault="00BC291D">
            <w:r>
              <w:t>Høyre</w:t>
            </w:r>
          </w:p>
        </w:tc>
        <w:tc>
          <w:tcPr>
            <w:tcW w:w="2303" w:type="dxa"/>
          </w:tcPr>
          <w:p w:rsidR="00BC291D" w:rsidRDefault="00BC291D">
            <w:r>
              <w:t>Fremskrittspartiet</w:t>
            </w:r>
          </w:p>
        </w:tc>
      </w:tr>
      <w:tr w:rsidR="00BC291D" w:rsidTr="00BC291D">
        <w:tc>
          <w:tcPr>
            <w:tcW w:w="2303" w:type="dxa"/>
          </w:tcPr>
          <w:p w:rsidR="00BC291D" w:rsidRDefault="00BC291D">
            <w:r>
              <w:t>Inntektsmålsetting for landbruket</w:t>
            </w:r>
          </w:p>
        </w:tc>
        <w:tc>
          <w:tcPr>
            <w:tcW w:w="2303" w:type="dxa"/>
          </w:tcPr>
          <w:p w:rsidR="00BC291D" w:rsidRDefault="00E84D30">
            <w:r>
              <w:t>Utøverne i landbruket skal sikres en inntektsutvikling på linje med andre grupper</w:t>
            </w:r>
          </w:p>
        </w:tc>
        <w:tc>
          <w:tcPr>
            <w:tcW w:w="2303" w:type="dxa"/>
          </w:tcPr>
          <w:p w:rsidR="00BC291D" w:rsidRDefault="00E84D30">
            <w:r>
              <w:t>Ingen konkret inntektsmålsetting</w:t>
            </w:r>
          </w:p>
        </w:tc>
        <w:tc>
          <w:tcPr>
            <w:tcW w:w="2303" w:type="dxa"/>
          </w:tcPr>
          <w:p w:rsidR="00BC291D" w:rsidRDefault="00E84D30">
            <w:r>
              <w:t>Norske matprodusenter skal ha rammebetingelser for produksjon som er på linje med våre naboland</w:t>
            </w:r>
          </w:p>
        </w:tc>
      </w:tr>
      <w:tr w:rsidR="00BC291D" w:rsidTr="00BC291D">
        <w:tc>
          <w:tcPr>
            <w:tcW w:w="2303" w:type="dxa"/>
          </w:tcPr>
          <w:p w:rsidR="00BC291D" w:rsidRDefault="00E84D30">
            <w:r>
              <w:t>Nivå på budsjettoverføringer</w:t>
            </w:r>
          </w:p>
        </w:tc>
        <w:tc>
          <w:tcPr>
            <w:tcW w:w="2303" w:type="dxa"/>
          </w:tcPr>
          <w:p w:rsidR="00BC291D" w:rsidRDefault="00E84D30">
            <w:r>
              <w:t xml:space="preserve">Økt budsjettoverføring til landbruket med 0,5 mrd. </w:t>
            </w:r>
            <w:r w:rsidR="00310B02">
              <w:t>k</w:t>
            </w:r>
            <w:r>
              <w:t>roner (om lag 4 prosent)</w:t>
            </w:r>
          </w:p>
        </w:tc>
        <w:tc>
          <w:tcPr>
            <w:tcW w:w="2303" w:type="dxa"/>
          </w:tcPr>
          <w:p w:rsidR="00BC291D" w:rsidRDefault="00E84D30">
            <w:r>
              <w:t>Reduksjon i budsjettoverføringen til landbruket på 11 prosent</w:t>
            </w:r>
          </w:p>
        </w:tc>
        <w:tc>
          <w:tcPr>
            <w:tcW w:w="2303" w:type="dxa"/>
          </w:tcPr>
          <w:p w:rsidR="00BC291D" w:rsidRDefault="00E84D30">
            <w:r>
              <w:t xml:space="preserve">Reduksjon i budsjettoverføringen til landbruket med 6,5 mrd. </w:t>
            </w:r>
            <w:r w:rsidR="00310B02">
              <w:t>kroner ( om lag 46 prosent reduksjon i budsjettoverføringen)</w:t>
            </w:r>
          </w:p>
        </w:tc>
      </w:tr>
      <w:tr w:rsidR="00BC291D" w:rsidTr="00BC291D">
        <w:tc>
          <w:tcPr>
            <w:tcW w:w="2303" w:type="dxa"/>
          </w:tcPr>
          <w:p w:rsidR="00BC291D" w:rsidRDefault="00E84D30">
            <w:r>
              <w:t>Strukturtilskudd</w:t>
            </w:r>
          </w:p>
        </w:tc>
        <w:tc>
          <w:tcPr>
            <w:tcW w:w="2303" w:type="dxa"/>
          </w:tcPr>
          <w:p w:rsidR="00BC291D" w:rsidRDefault="00E84D30">
            <w:r>
              <w:t>Det skal være høyere tilskudd for de første enhetene – både for dyr og dyrka mark</w:t>
            </w:r>
          </w:p>
        </w:tc>
        <w:tc>
          <w:tcPr>
            <w:tcW w:w="2303" w:type="dxa"/>
          </w:tcPr>
          <w:p w:rsidR="00BC291D" w:rsidRDefault="00E84D30">
            <w:r>
              <w:t>Vridning i tilskudd fra små til større bruk</w:t>
            </w:r>
          </w:p>
        </w:tc>
        <w:tc>
          <w:tcPr>
            <w:tcW w:w="2303" w:type="dxa"/>
          </w:tcPr>
          <w:p w:rsidR="00BC291D" w:rsidRDefault="00310B02">
            <w:r>
              <w:t>Tilskudd skal hovedsakelig gis til heltidsbønder, og størrelsen på tilskuddet skal øke etter hvert som produksjonsvolumet øker</w:t>
            </w:r>
          </w:p>
        </w:tc>
      </w:tr>
      <w:tr w:rsidR="00BC291D" w:rsidTr="00BC291D">
        <w:tc>
          <w:tcPr>
            <w:tcW w:w="2303" w:type="dxa"/>
          </w:tcPr>
          <w:p w:rsidR="00BC291D" w:rsidRDefault="00E84D30">
            <w:r>
              <w:t>Distrikts- og sonetilskudd</w:t>
            </w:r>
          </w:p>
        </w:tc>
        <w:tc>
          <w:tcPr>
            <w:tcW w:w="2303" w:type="dxa"/>
          </w:tcPr>
          <w:p w:rsidR="00BC291D" w:rsidRDefault="00E84D30">
            <w:r>
              <w:t>Distrikts- og sonetilskuddene videreføres</w:t>
            </w:r>
          </w:p>
        </w:tc>
        <w:tc>
          <w:tcPr>
            <w:tcW w:w="2303" w:type="dxa"/>
          </w:tcPr>
          <w:p w:rsidR="00BC291D" w:rsidRDefault="00E84D30">
            <w:r>
              <w:t>Vurderer avvikling av distrikts- og sonetilskudd</w:t>
            </w:r>
          </w:p>
        </w:tc>
        <w:tc>
          <w:tcPr>
            <w:tcW w:w="2303" w:type="dxa"/>
          </w:tcPr>
          <w:p w:rsidR="00BC291D" w:rsidRDefault="00310B02">
            <w:r>
              <w:t>Avvikle distrikts- og sonetilskuddene</w:t>
            </w:r>
          </w:p>
        </w:tc>
      </w:tr>
      <w:tr w:rsidR="00BC291D" w:rsidTr="00BC291D">
        <w:tc>
          <w:tcPr>
            <w:tcW w:w="2303" w:type="dxa"/>
          </w:tcPr>
          <w:p w:rsidR="00BC291D" w:rsidRDefault="00E84D30">
            <w:r>
              <w:t>Toll</w:t>
            </w:r>
          </w:p>
        </w:tc>
        <w:tc>
          <w:tcPr>
            <w:tcW w:w="2303" w:type="dxa"/>
          </w:tcPr>
          <w:p w:rsidR="00BC291D" w:rsidRDefault="00E84D30">
            <w:r>
              <w:t>Importvernet av norske landbruksvarer beholdes på samme nivå som i dag</w:t>
            </w:r>
          </w:p>
        </w:tc>
        <w:tc>
          <w:tcPr>
            <w:tcW w:w="2303" w:type="dxa"/>
          </w:tcPr>
          <w:p w:rsidR="00BC291D" w:rsidRDefault="00E84D30">
            <w:r>
              <w:t>Prosenttollen på ost, storfe og lam reverseres, og konkurransen fra import blir større på disse produktene</w:t>
            </w:r>
          </w:p>
        </w:tc>
        <w:tc>
          <w:tcPr>
            <w:tcW w:w="2303" w:type="dxa"/>
          </w:tcPr>
          <w:p w:rsidR="00BC291D" w:rsidRDefault="00310B02">
            <w:r>
              <w:t>At norske tollsatser og beskyttelsesregimer på sikt fjernes som en del av internasjonale forhandlinger</w:t>
            </w:r>
          </w:p>
        </w:tc>
      </w:tr>
      <w:tr w:rsidR="00BC291D" w:rsidTr="00BC291D">
        <w:tc>
          <w:tcPr>
            <w:tcW w:w="2303" w:type="dxa"/>
          </w:tcPr>
          <w:p w:rsidR="00BC291D" w:rsidRDefault="00E84D30">
            <w:r>
              <w:t>Produksjons-</w:t>
            </w:r>
            <w:r>
              <w:lastRenderedPageBreak/>
              <w:t>begrensninger</w:t>
            </w:r>
          </w:p>
        </w:tc>
        <w:tc>
          <w:tcPr>
            <w:tcW w:w="2303" w:type="dxa"/>
          </w:tcPr>
          <w:p w:rsidR="00BC291D" w:rsidRDefault="00E84D30">
            <w:r>
              <w:lastRenderedPageBreak/>
              <w:t xml:space="preserve">Dagens kvote og </w:t>
            </w:r>
            <w:r>
              <w:lastRenderedPageBreak/>
              <w:t>konsesjonsgrenser beholdes</w:t>
            </w:r>
          </w:p>
        </w:tc>
        <w:tc>
          <w:tcPr>
            <w:tcW w:w="2303" w:type="dxa"/>
          </w:tcPr>
          <w:p w:rsidR="00BC291D" w:rsidRDefault="00E84D30">
            <w:r>
              <w:lastRenderedPageBreak/>
              <w:t xml:space="preserve">Kvotebegrensninger </w:t>
            </w:r>
            <w:r>
              <w:lastRenderedPageBreak/>
              <w:t>og konsesjonsgrenser skal gjennomgås, grensene for volum og antall i samdrift skal heves</w:t>
            </w:r>
          </w:p>
        </w:tc>
        <w:tc>
          <w:tcPr>
            <w:tcW w:w="2303" w:type="dxa"/>
          </w:tcPr>
          <w:p w:rsidR="00BC291D" w:rsidRDefault="00310B02">
            <w:r>
              <w:lastRenderedPageBreak/>
              <w:t xml:space="preserve">Avvikle dagens </w:t>
            </w:r>
            <w:r>
              <w:lastRenderedPageBreak/>
              <w:t>produksjonskvoter og produksjonsbegrensninger</w:t>
            </w:r>
          </w:p>
        </w:tc>
      </w:tr>
      <w:tr w:rsidR="00BC291D" w:rsidTr="00BC291D">
        <w:tc>
          <w:tcPr>
            <w:tcW w:w="2303" w:type="dxa"/>
          </w:tcPr>
          <w:p w:rsidR="00BC291D" w:rsidRDefault="00E84D30">
            <w:r>
              <w:lastRenderedPageBreak/>
              <w:t>Samvirke</w:t>
            </w:r>
          </w:p>
        </w:tc>
        <w:tc>
          <w:tcPr>
            <w:tcW w:w="2303" w:type="dxa"/>
          </w:tcPr>
          <w:p w:rsidR="00BC291D" w:rsidRDefault="00E84D30">
            <w:r>
              <w:t>Dagens markedsordninger og samvirkets rolle opprettholdes</w:t>
            </w:r>
          </w:p>
        </w:tc>
        <w:tc>
          <w:tcPr>
            <w:tcW w:w="2303" w:type="dxa"/>
          </w:tcPr>
          <w:p w:rsidR="00BC291D" w:rsidRDefault="00E84D30">
            <w:r>
              <w:t>Svekking av samvirkets posisjon i markedet til fordel for andre varemottakere</w:t>
            </w:r>
          </w:p>
        </w:tc>
        <w:tc>
          <w:tcPr>
            <w:tcW w:w="2303" w:type="dxa"/>
          </w:tcPr>
          <w:p w:rsidR="00BC291D" w:rsidRDefault="00310B02">
            <w:r>
              <w:t>Systemet med markedsreguleringer og målpriser fjernes</w:t>
            </w:r>
          </w:p>
        </w:tc>
      </w:tr>
      <w:tr w:rsidR="00E84D30" w:rsidTr="00BC291D">
        <w:tc>
          <w:tcPr>
            <w:tcW w:w="2303" w:type="dxa"/>
          </w:tcPr>
          <w:p w:rsidR="00E84D30" w:rsidRDefault="00E84D30">
            <w:r>
              <w:t>Skattenivå</w:t>
            </w:r>
          </w:p>
        </w:tc>
        <w:tc>
          <w:tcPr>
            <w:tcW w:w="2303" w:type="dxa"/>
          </w:tcPr>
          <w:p w:rsidR="00E84D30" w:rsidRDefault="00E84D30">
            <w:r>
              <w:t>Videreføre skattenivået på samme nivå som i 2004</w:t>
            </w:r>
          </w:p>
        </w:tc>
        <w:tc>
          <w:tcPr>
            <w:tcW w:w="2303" w:type="dxa"/>
          </w:tcPr>
          <w:p w:rsidR="00E84D30" w:rsidRDefault="00E84D30">
            <w:r>
              <w:t>Redusere skattenivået, blant annet fjerne formuesskatten og arveavgiften og redusere toppskatten</w:t>
            </w:r>
          </w:p>
        </w:tc>
        <w:tc>
          <w:tcPr>
            <w:tcW w:w="2303" w:type="dxa"/>
          </w:tcPr>
          <w:p w:rsidR="00E84D30" w:rsidRDefault="00310B02">
            <w:r>
              <w:t>Redusere skattenivået, blant annet avgifter på grensehandelsutsatte varer, fjerne formuesskatt og arveavgift</w:t>
            </w:r>
          </w:p>
        </w:tc>
      </w:tr>
    </w:tbl>
    <w:p w:rsidR="00BC291D" w:rsidRDefault="00BC291D"/>
    <w:p w:rsidR="00310B02" w:rsidRDefault="00310B02"/>
    <w:p w:rsidR="00310B02" w:rsidRDefault="00310B02">
      <w:r>
        <w:t>Figurene under viser hvordan produsentene har fordelte seg ett hvordan de enkelte elementene i partienes politikk vil virke inn på deres bruk:</w:t>
      </w:r>
    </w:p>
    <w:p w:rsidR="00397150" w:rsidRDefault="00397150">
      <w:r>
        <w:rPr>
          <w:rStyle w:val="iewrap"/>
          <w:rFonts w:ascii="Arial" w:hAnsi="Arial" w:cs="Arial"/>
          <w:b/>
          <w:bCs/>
          <w:color w:val="444444"/>
        </w:rPr>
        <w:t>Hvordan tror du de ulike elementene i landbrukspolitikken til regjeringen vil virke inn på ditt bruk hvis de blir gjennomført? Svar på en skala fra 1 til 5 der 1 er svært positivt og 5 er svært negativt.</w:t>
      </w:r>
    </w:p>
    <w:p w:rsidR="00310B02" w:rsidRDefault="00310B02">
      <w:r>
        <w:rPr>
          <w:noProof/>
          <w:lang w:eastAsia="nb-NO"/>
        </w:rPr>
        <w:drawing>
          <wp:anchor distT="0" distB="0" distL="114300" distR="114300" simplePos="0" relativeHeight="251662336" behindDoc="0" locked="0" layoutInCell="1" allowOverlap="1">
            <wp:simplePos x="0" y="0"/>
            <wp:positionH relativeFrom="column">
              <wp:posOffset>0</wp:posOffset>
            </wp:positionH>
            <wp:positionV relativeFrom="paragraph">
              <wp:posOffset>42545</wp:posOffset>
            </wp:positionV>
            <wp:extent cx="5486400" cy="3200400"/>
            <wp:effectExtent l="0" t="0" r="19050" b="19050"/>
            <wp:wrapSquare wrapText="bothSides"/>
            <wp:docPr id="9" name="Diagra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310B02" w:rsidRDefault="00310B02">
      <w:r>
        <w:rPr>
          <w:noProof/>
          <w:lang w:eastAsia="nb-NO"/>
        </w:rPr>
        <w:lastRenderedPageBreak/>
        <w:drawing>
          <wp:anchor distT="0" distB="0" distL="114300" distR="114300" simplePos="0" relativeHeight="251664384" behindDoc="0" locked="0" layoutInCell="1" allowOverlap="1">
            <wp:simplePos x="0" y="0"/>
            <wp:positionH relativeFrom="column">
              <wp:posOffset>0</wp:posOffset>
            </wp:positionH>
            <wp:positionV relativeFrom="paragraph">
              <wp:posOffset>724535</wp:posOffset>
            </wp:positionV>
            <wp:extent cx="5486400" cy="3200400"/>
            <wp:effectExtent l="0" t="0" r="19050" b="19050"/>
            <wp:wrapSquare wrapText="bothSides"/>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04276">
        <w:rPr>
          <w:rStyle w:val="iewrap"/>
          <w:rFonts w:ascii="Arial" w:hAnsi="Arial" w:cs="Arial"/>
          <w:b/>
          <w:bCs/>
          <w:color w:val="444444"/>
        </w:rPr>
        <w:t>Hvordan tror du de ulike elementene i landbrukspolitikken til Høyre vil virke inn på ditt bruk hvis de blir gjennomført? Svar på en skala fra 1 til 5 der 1 er svært positivt og 5 er svært negativt.</w:t>
      </w:r>
    </w:p>
    <w:p w:rsidR="00397150" w:rsidRDefault="00397150" w:rsidP="00310B02">
      <w:r>
        <w:rPr>
          <w:rStyle w:val="iewrap"/>
          <w:rFonts w:ascii="Arial" w:hAnsi="Arial" w:cs="Arial"/>
          <w:b/>
          <w:bCs/>
          <w:color w:val="444444"/>
        </w:rPr>
        <w:t>Hvordan tror du de ulike elementene i landbrukspolitikken til Fremskrittspartiet vil virke inn på ditt bruk hvis de blir gjennomført? Svar på en skala fra 1 til 5 der 1 er svært positivt og 5 er svært negativt.</w:t>
      </w:r>
    </w:p>
    <w:p w:rsidR="00310B02" w:rsidRDefault="00310B02">
      <w:r>
        <w:rPr>
          <w:noProof/>
          <w:lang w:eastAsia="nb-NO"/>
        </w:rPr>
        <w:drawing>
          <wp:anchor distT="0" distB="0" distL="114300" distR="114300" simplePos="0" relativeHeight="251666432" behindDoc="0" locked="0" layoutInCell="1" allowOverlap="1">
            <wp:simplePos x="0" y="0"/>
            <wp:positionH relativeFrom="column">
              <wp:posOffset>-57150</wp:posOffset>
            </wp:positionH>
            <wp:positionV relativeFrom="paragraph">
              <wp:posOffset>90805</wp:posOffset>
            </wp:positionV>
            <wp:extent cx="5486400" cy="3200400"/>
            <wp:effectExtent l="0" t="0" r="19050" b="19050"/>
            <wp:wrapSquare wrapText="bothSides"/>
            <wp:docPr id="11" name="Diagram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310B02" w:rsidRDefault="00310B02"/>
    <w:p w:rsidR="00310B02" w:rsidRDefault="00397150">
      <w:r>
        <w:rPr>
          <w:rStyle w:val="iewrap"/>
          <w:rFonts w:ascii="Arial" w:hAnsi="Arial" w:cs="Arial"/>
          <w:b/>
          <w:bCs/>
          <w:color w:val="444444"/>
        </w:rPr>
        <w:lastRenderedPageBreak/>
        <w:t>Hvordan vil du utvikle drifta på gården din de neste fire årene hvis alle Høyres forslag blir realisert? (Etter landsdel)</w:t>
      </w:r>
    </w:p>
    <w:p w:rsidR="00607DB8" w:rsidRDefault="00607DB8">
      <w:r>
        <w:rPr>
          <w:noProof/>
          <w:lang w:eastAsia="nb-NO"/>
        </w:rPr>
        <w:drawing>
          <wp:inline distT="0" distB="0" distL="0" distR="0">
            <wp:extent cx="5486400" cy="3200400"/>
            <wp:effectExtent l="0" t="0" r="19050" b="19050"/>
            <wp:docPr id="1" name="Diagra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07DB8" w:rsidRDefault="00607DB8"/>
    <w:p w:rsidR="00397150" w:rsidRDefault="00397150">
      <w:r>
        <w:rPr>
          <w:rStyle w:val="iewrap"/>
          <w:rFonts w:ascii="Arial" w:hAnsi="Arial" w:cs="Arial"/>
          <w:b/>
          <w:bCs/>
          <w:color w:val="444444"/>
        </w:rPr>
        <w:t>Hvordan vil du utvikle drifta på gården din de neste fire årene hvis alle regjeringens forslag blir realisert? (Etter landsdel)</w:t>
      </w:r>
    </w:p>
    <w:p w:rsidR="00607DB8" w:rsidRDefault="00607DB8">
      <w:r>
        <w:rPr>
          <w:noProof/>
          <w:lang w:eastAsia="nb-NO"/>
        </w:rPr>
        <w:drawing>
          <wp:inline distT="0" distB="0" distL="0" distR="0">
            <wp:extent cx="5486400" cy="3200400"/>
            <wp:effectExtent l="0" t="0" r="19050" b="1905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97150" w:rsidRDefault="00397150">
      <w:r>
        <w:rPr>
          <w:rStyle w:val="iewrap"/>
          <w:rFonts w:ascii="Arial" w:hAnsi="Arial" w:cs="Arial"/>
          <w:b/>
          <w:bCs/>
          <w:color w:val="444444"/>
        </w:rPr>
        <w:t>Hvordan vil du utvikle drifta på gården din de neste fire årene hvis alle Fremskrittspartiets forslag blir realisert? (Etter landsdel)</w:t>
      </w:r>
    </w:p>
    <w:p w:rsidR="00607DB8" w:rsidRDefault="00607DB8">
      <w:r>
        <w:rPr>
          <w:noProof/>
          <w:lang w:eastAsia="nb-NO"/>
        </w:rPr>
        <w:lastRenderedPageBreak/>
        <w:drawing>
          <wp:inline distT="0" distB="0" distL="0" distR="0">
            <wp:extent cx="5486400" cy="3200400"/>
            <wp:effectExtent l="0" t="0" r="19050" b="19050"/>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07DB8" w:rsidRDefault="00607DB8"/>
    <w:p w:rsidR="00397150" w:rsidRDefault="00397150"/>
    <w:p w:rsidR="00397150" w:rsidRDefault="00397150"/>
    <w:p w:rsidR="00397150" w:rsidRDefault="00397150"/>
    <w:p w:rsidR="00397150" w:rsidRDefault="00397150">
      <w:r>
        <w:rPr>
          <w:rStyle w:val="iewrap"/>
          <w:rFonts w:ascii="Arial" w:hAnsi="Arial" w:cs="Arial"/>
          <w:b/>
          <w:bCs/>
          <w:color w:val="444444"/>
        </w:rPr>
        <w:t>Hvordan vil du utvikle drifta på gården din de neste fire årene hvis alle Høyres forslag blir realisert? (Etter størrelse)</w:t>
      </w:r>
    </w:p>
    <w:p w:rsidR="00BF3CF4" w:rsidRDefault="004D7A15">
      <w:r>
        <w:rPr>
          <w:noProof/>
          <w:lang w:eastAsia="nb-NO"/>
        </w:rPr>
        <w:drawing>
          <wp:inline distT="0" distB="0" distL="0" distR="0">
            <wp:extent cx="5486400" cy="3200400"/>
            <wp:effectExtent l="0" t="0" r="19050" b="19050"/>
            <wp:docPr id="4" name="Diagra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97150" w:rsidRDefault="00397150" w:rsidP="00397150">
      <w:pPr>
        <w:rPr>
          <w:rStyle w:val="iewrap"/>
          <w:rFonts w:ascii="Arial" w:hAnsi="Arial" w:cs="Arial"/>
          <w:b/>
          <w:bCs/>
          <w:color w:val="444444"/>
        </w:rPr>
      </w:pPr>
    </w:p>
    <w:p w:rsidR="00397150" w:rsidRDefault="00397150" w:rsidP="00397150">
      <w:r>
        <w:rPr>
          <w:rStyle w:val="iewrap"/>
          <w:rFonts w:ascii="Arial" w:hAnsi="Arial" w:cs="Arial"/>
          <w:b/>
          <w:bCs/>
          <w:color w:val="444444"/>
        </w:rPr>
        <w:lastRenderedPageBreak/>
        <w:t>Hvordan vil du utvikle drifta på gården din de neste fire årene hvis alle regjeringens forslag blir realisert? (Etter størrelse)</w:t>
      </w:r>
    </w:p>
    <w:p w:rsidR="00607DB8" w:rsidRDefault="00BF3CF4" w:rsidP="00BF3CF4">
      <w:r>
        <w:br w:type="textWrapping" w:clear="all"/>
      </w:r>
      <w:r>
        <w:rPr>
          <w:noProof/>
          <w:lang w:eastAsia="nb-NO"/>
        </w:rPr>
        <w:drawing>
          <wp:inline distT="0" distB="0" distL="0" distR="0">
            <wp:extent cx="5486400" cy="3200400"/>
            <wp:effectExtent l="0" t="0" r="19050" b="19050"/>
            <wp:docPr id="6" name="Diagra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F3CF4" w:rsidRDefault="00BF3CF4" w:rsidP="00BF3CF4"/>
    <w:p w:rsidR="00397150" w:rsidRDefault="00397150" w:rsidP="00BF3CF4"/>
    <w:p w:rsidR="00397150" w:rsidRDefault="00397150" w:rsidP="00397150">
      <w:r>
        <w:rPr>
          <w:rStyle w:val="iewrap"/>
          <w:rFonts w:ascii="Arial" w:hAnsi="Arial" w:cs="Arial"/>
          <w:b/>
          <w:bCs/>
          <w:color w:val="444444"/>
        </w:rPr>
        <w:t>Hvordan vil du utvikle drifta på gården din de neste fire årene hvis alle Fremskrittspartiets forslag blir realisert? (Etter størrelse)</w:t>
      </w:r>
    </w:p>
    <w:p w:rsidR="00BF3CF4" w:rsidRDefault="00BF3CF4" w:rsidP="00BF3CF4">
      <w:r>
        <w:rPr>
          <w:noProof/>
          <w:lang w:eastAsia="nb-NO"/>
        </w:rPr>
        <w:drawing>
          <wp:inline distT="0" distB="0" distL="0" distR="0">
            <wp:extent cx="5486400" cy="3200400"/>
            <wp:effectExtent l="0" t="0" r="19050" b="1905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F3CF4" w:rsidRPr="00BF3CF4" w:rsidRDefault="00BF3CF4" w:rsidP="00BF3CF4"/>
    <w:p w:rsidR="00BF3CF4" w:rsidRPr="00BF3CF4" w:rsidRDefault="00BF3CF4" w:rsidP="00BF3CF4"/>
    <w:p w:rsidR="00BF3CF4" w:rsidRDefault="00BF3CF4" w:rsidP="00BF3CF4"/>
    <w:p w:rsidR="00BF3CF4" w:rsidRDefault="00386644" w:rsidP="00BF3CF4">
      <w:r>
        <w:br w:type="textWrapping" w:clear="all"/>
      </w:r>
    </w:p>
    <w:p w:rsidR="00981663" w:rsidRDefault="00981663" w:rsidP="00BF3CF4"/>
    <w:p w:rsidR="00981663" w:rsidRPr="00BF3CF4" w:rsidRDefault="00386644" w:rsidP="00BF3CF4">
      <w:r>
        <w:br w:type="textWrapping" w:clear="all"/>
      </w:r>
    </w:p>
    <w:sectPr w:rsidR="00981663" w:rsidRPr="00BF3CF4" w:rsidSect="00EF25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537" w:rsidRDefault="00EE2537" w:rsidP="00BF3CF4">
      <w:pPr>
        <w:spacing w:after="0" w:line="240" w:lineRule="auto"/>
      </w:pPr>
      <w:r>
        <w:separator/>
      </w:r>
    </w:p>
  </w:endnote>
  <w:endnote w:type="continuationSeparator" w:id="0">
    <w:p w:rsidR="00EE2537" w:rsidRDefault="00EE2537" w:rsidP="00BF3C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537" w:rsidRDefault="00EE2537" w:rsidP="00BF3CF4">
      <w:pPr>
        <w:spacing w:after="0" w:line="240" w:lineRule="auto"/>
      </w:pPr>
      <w:r>
        <w:separator/>
      </w:r>
    </w:p>
  </w:footnote>
  <w:footnote w:type="continuationSeparator" w:id="0">
    <w:p w:rsidR="00EE2537" w:rsidRDefault="00EE2537" w:rsidP="00BF3C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CA4EA0A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72E53"/>
    <w:rsid w:val="00016FBC"/>
    <w:rsid w:val="000614A5"/>
    <w:rsid w:val="00127CBA"/>
    <w:rsid w:val="001977A9"/>
    <w:rsid w:val="00274764"/>
    <w:rsid w:val="00280FEA"/>
    <w:rsid w:val="0028147F"/>
    <w:rsid w:val="00310B02"/>
    <w:rsid w:val="00372E53"/>
    <w:rsid w:val="00386644"/>
    <w:rsid w:val="00397150"/>
    <w:rsid w:val="00444B6D"/>
    <w:rsid w:val="004A2BC5"/>
    <w:rsid w:val="004D7A15"/>
    <w:rsid w:val="005926A2"/>
    <w:rsid w:val="00607DB8"/>
    <w:rsid w:val="00687F4B"/>
    <w:rsid w:val="006B4FEC"/>
    <w:rsid w:val="00981663"/>
    <w:rsid w:val="009D0E11"/>
    <w:rsid w:val="009D7898"/>
    <w:rsid w:val="00AF6407"/>
    <w:rsid w:val="00B33820"/>
    <w:rsid w:val="00B46E00"/>
    <w:rsid w:val="00B679CC"/>
    <w:rsid w:val="00BC291D"/>
    <w:rsid w:val="00BF3CF4"/>
    <w:rsid w:val="00C15B25"/>
    <w:rsid w:val="00CB1DF1"/>
    <w:rsid w:val="00D04276"/>
    <w:rsid w:val="00D675FD"/>
    <w:rsid w:val="00DA22F8"/>
    <w:rsid w:val="00DA3775"/>
    <w:rsid w:val="00E0321E"/>
    <w:rsid w:val="00E84D30"/>
    <w:rsid w:val="00EB0817"/>
    <w:rsid w:val="00EE2537"/>
    <w:rsid w:val="00EF25A5"/>
    <w:rsid w:val="00EF5A0D"/>
    <w:rsid w:val="00F40C7E"/>
    <w:rsid w:val="00FD481A"/>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5A5"/>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2E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E53"/>
    <w:rPr>
      <w:rFonts w:ascii="Tahoma" w:hAnsi="Tahoma" w:cs="Tahoma"/>
      <w:sz w:val="16"/>
      <w:szCs w:val="16"/>
    </w:rPr>
  </w:style>
  <w:style w:type="paragraph" w:styleId="Topptekst">
    <w:name w:val="header"/>
    <w:basedOn w:val="Normal"/>
    <w:link w:val="TopptekstTegn"/>
    <w:uiPriority w:val="99"/>
    <w:unhideWhenUsed/>
    <w:rsid w:val="00BF3C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3CF4"/>
  </w:style>
  <w:style w:type="paragraph" w:styleId="Bunntekst">
    <w:name w:val="footer"/>
    <w:basedOn w:val="Normal"/>
    <w:link w:val="BunntekstTegn"/>
    <w:uiPriority w:val="99"/>
    <w:unhideWhenUsed/>
    <w:rsid w:val="00BF3C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3CF4"/>
  </w:style>
  <w:style w:type="table" w:styleId="Tabellrutenett">
    <w:name w:val="Table Grid"/>
    <w:basedOn w:val="Vanligtabell"/>
    <w:uiPriority w:val="59"/>
    <w:rsid w:val="00B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wrap">
    <w:name w:val="iewrap"/>
    <w:basedOn w:val="Standardskriftforavsnitt"/>
    <w:rsid w:val="00E84D30"/>
  </w:style>
  <w:style w:type="paragraph" w:customStyle="1" w:styleId="Tabellrutenett1">
    <w:name w:val="Tabellrutenett1"/>
    <w:rsid w:val="00127CBA"/>
    <w:pPr>
      <w:spacing w:after="0" w:line="240" w:lineRule="auto"/>
    </w:pPr>
    <w:rPr>
      <w:rFonts w:ascii="Lucida Grande" w:eastAsia="ヒラギノ角ゴ Pro W3" w:hAnsi="Lucida Grande" w:cs="Times New Roman"/>
      <w:color w:val="000000"/>
      <w:szCs w:val="20"/>
      <w:lang w:eastAsia="nb-NO"/>
    </w:rPr>
  </w:style>
  <w:style w:type="numbering" w:customStyle="1" w:styleId="Punkttegn">
    <w:name w:val="Punkttegn"/>
    <w:rsid w:val="00127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72E5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72E53"/>
    <w:rPr>
      <w:rFonts w:ascii="Tahoma" w:hAnsi="Tahoma" w:cs="Tahoma"/>
      <w:sz w:val="16"/>
      <w:szCs w:val="16"/>
    </w:rPr>
  </w:style>
  <w:style w:type="paragraph" w:styleId="Topptekst">
    <w:name w:val="header"/>
    <w:basedOn w:val="Normal"/>
    <w:link w:val="TopptekstTegn"/>
    <w:uiPriority w:val="99"/>
    <w:unhideWhenUsed/>
    <w:rsid w:val="00BF3CF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F3CF4"/>
  </w:style>
  <w:style w:type="paragraph" w:styleId="Bunntekst">
    <w:name w:val="footer"/>
    <w:basedOn w:val="Normal"/>
    <w:link w:val="BunntekstTegn"/>
    <w:uiPriority w:val="99"/>
    <w:unhideWhenUsed/>
    <w:rsid w:val="00BF3CF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F3CF4"/>
  </w:style>
  <w:style w:type="table" w:styleId="Tabellrutenett">
    <w:name w:val="Table Grid"/>
    <w:basedOn w:val="Vanligtabell"/>
    <w:uiPriority w:val="59"/>
    <w:rsid w:val="00BC29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ewrap">
    <w:name w:val="iewrap"/>
    <w:basedOn w:val="Standardskriftforavsnitt"/>
    <w:rsid w:val="00E84D3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regnear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regneark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regnear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regnear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regneark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regneark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regneark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regneark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regneark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Positivt</c:v>
                </c:pt>
              </c:strCache>
            </c:strRef>
          </c:tx>
          <c:dLbls>
            <c:showVal val="1"/>
          </c:dLbls>
          <c:cat>
            <c:strRef>
              <c:f>'Ark1'!$A$2:$A$9</c:f>
              <c:strCache>
                <c:ptCount val="8"/>
                <c:pt idx="0">
                  <c:v>Videreføre skattenivået som i dag</c:v>
                </c:pt>
                <c:pt idx="1">
                  <c:v>Dagens markedsordninger og samvirkets rolle opprettholdes</c:v>
                </c:pt>
                <c:pt idx="2">
                  <c:v>Dagens kvote og konsesjonsgrenser beholdes</c:v>
                </c:pt>
                <c:pt idx="3">
                  <c:v>Importvernet beholdes som i dag</c:v>
                </c:pt>
                <c:pt idx="4">
                  <c:v>Distrikts- og sonetilskudd videreføres</c:v>
                </c:pt>
                <c:pt idx="5">
                  <c:v>Høyere tilskudd for de første enhetene (dyr og areal)</c:v>
                </c:pt>
                <c:pt idx="6">
                  <c:v>Økt budsjettoverføring med 4 prosent</c:v>
                </c:pt>
                <c:pt idx="7">
                  <c:v>Sikres inntektsutvikling på linje med andre grupper</c:v>
                </c:pt>
              </c:strCache>
            </c:strRef>
          </c:cat>
          <c:val>
            <c:numRef>
              <c:f>'Ark1'!$B$2:$B$9</c:f>
              <c:numCache>
                <c:formatCode>General</c:formatCode>
                <c:ptCount val="8"/>
                <c:pt idx="0">
                  <c:v>52</c:v>
                </c:pt>
                <c:pt idx="1">
                  <c:v>76</c:v>
                </c:pt>
                <c:pt idx="2">
                  <c:v>65</c:v>
                </c:pt>
                <c:pt idx="3">
                  <c:v>82</c:v>
                </c:pt>
                <c:pt idx="4">
                  <c:v>77</c:v>
                </c:pt>
                <c:pt idx="5">
                  <c:v>70</c:v>
                </c:pt>
                <c:pt idx="6">
                  <c:v>85</c:v>
                </c:pt>
                <c:pt idx="7">
                  <c:v>89</c:v>
                </c:pt>
              </c:numCache>
            </c:numRef>
          </c:val>
        </c:ser>
        <c:ser>
          <c:idx val="1"/>
          <c:order val="1"/>
          <c:tx>
            <c:strRef>
              <c:f>'Ark1'!$C$1</c:f>
              <c:strCache>
                <c:ptCount val="1"/>
                <c:pt idx="0">
                  <c:v>Ingen virkning</c:v>
                </c:pt>
              </c:strCache>
            </c:strRef>
          </c:tx>
          <c:dLbls>
            <c:showVal val="1"/>
          </c:dLbls>
          <c:cat>
            <c:strRef>
              <c:f>'Ark1'!$A$2:$A$9</c:f>
              <c:strCache>
                <c:ptCount val="8"/>
                <c:pt idx="0">
                  <c:v>Videreføre skattenivået som i dag</c:v>
                </c:pt>
                <c:pt idx="1">
                  <c:v>Dagens markedsordninger og samvirkets rolle opprettholdes</c:v>
                </c:pt>
                <c:pt idx="2">
                  <c:v>Dagens kvote og konsesjonsgrenser beholdes</c:v>
                </c:pt>
                <c:pt idx="3">
                  <c:v>Importvernet beholdes som i dag</c:v>
                </c:pt>
                <c:pt idx="4">
                  <c:v>Distrikts- og sonetilskudd videreføres</c:v>
                </c:pt>
                <c:pt idx="5">
                  <c:v>Høyere tilskudd for de første enhetene (dyr og areal)</c:v>
                </c:pt>
                <c:pt idx="6">
                  <c:v>Økt budsjettoverføring med 4 prosent</c:v>
                </c:pt>
                <c:pt idx="7">
                  <c:v>Sikres inntektsutvikling på linje med andre grupper</c:v>
                </c:pt>
              </c:strCache>
            </c:strRef>
          </c:cat>
          <c:val>
            <c:numRef>
              <c:f>'Ark1'!$C$2:$C$9</c:f>
              <c:numCache>
                <c:formatCode>General</c:formatCode>
                <c:ptCount val="8"/>
                <c:pt idx="0">
                  <c:v>38</c:v>
                </c:pt>
                <c:pt idx="1">
                  <c:v>16</c:v>
                </c:pt>
                <c:pt idx="2">
                  <c:v>26</c:v>
                </c:pt>
                <c:pt idx="3">
                  <c:v>14</c:v>
                </c:pt>
                <c:pt idx="4">
                  <c:v>15</c:v>
                </c:pt>
                <c:pt idx="5">
                  <c:v>18</c:v>
                </c:pt>
                <c:pt idx="6">
                  <c:v>12</c:v>
                </c:pt>
                <c:pt idx="7">
                  <c:v>7</c:v>
                </c:pt>
              </c:numCache>
            </c:numRef>
          </c:val>
        </c:ser>
        <c:ser>
          <c:idx val="2"/>
          <c:order val="2"/>
          <c:tx>
            <c:strRef>
              <c:f>'Ark1'!$D$1</c:f>
              <c:strCache>
                <c:ptCount val="1"/>
                <c:pt idx="0">
                  <c:v>Negativt</c:v>
                </c:pt>
              </c:strCache>
            </c:strRef>
          </c:tx>
          <c:dLbls>
            <c:showVal val="1"/>
          </c:dLbls>
          <c:cat>
            <c:strRef>
              <c:f>'Ark1'!$A$2:$A$9</c:f>
              <c:strCache>
                <c:ptCount val="8"/>
                <c:pt idx="0">
                  <c:v>Videreføre skattenivået som i dag</c:v>
                </c:pt>
                <c:pt idx="1">
                  <c:v>Dagens markedsordninger og samvirkets rolle opprettholdes</c:v>
                </c:pt>
                <c:pt idx="2">
                  <c:v>Dagens kvote og konsesjonsgrenser beholdes</c:v>
                </c:pt>
                <c:pt idx="3">
                  <c:v>Importvernet beholdes som i dag</c:v>
                </c:pt>
                <c:pt idx="4">
                  <c:v>Distrikts- og sonetilskudd videreføres</c:v>
                </c:pt>
                <c:pt idx="5">
                  <c:v>Høyere tilskudd for de første enhetene (dyr og areal)</c:v>
                </c:pt>
                <c:pt idx="6">
                  <c:v>Økt budsjettoverføring med 4 prosent</c:v>
                </c:pt>
                <c:pt idx="7">
                  <c:v>Sikres inntektsutvikling på linje med andre grupper</c:v>
                </c:pt>
              </c:strCache>
            </c:strRef>
          </c:cat>
          <c:val>
            <c:numRef>
              <c:f>'Ark1'!$D$2:$D$9</c:f>
              <c:numCache>
                <c:formatCode>General</c:formatCode>
                <c:ptCount val="8"/>
                <c:pt idx="0">
                  <c:v>11</c:v>
                </c:pt>
                <c:pt idx="1">
                  <c:v>8</c:v>
                </c:pt>
                <c:pt idx="2">
                  <c:v>9</c:v>
                </c:pt>
                <c:pt idx="3">
                  <c:v>5</c:v>
                </c:pt>
                <c:pt idx="4">
                  <c:v>8</c:v>
                </c:pt>
                <c:pt idx="5">
                  <c:v>12</c:v>
                </c:pt>
                <c:pt idx="6">
                  <c:v>4</c:v>
                </c:pt>
                <c:pt idx="7">
                  <c:v>4</c:v>
                </c:pt>
              </c:numCache>
            </c:numRef>
          </c:val>
        </c:ser>
        <c:overlap val="100"/>
        <c:axId val="180407296"/>
        <c:axId val="57475840"/>
      </c:barChart>
      <c:catAx>
        <c:axId val="180407296"/>
        <c:scaling>
          <c:orientation val="minMax"/>
        </c:scaling>
        <c:axPos val="l"/>
        <c:tickLblPos val="nextTo"/>
        <c:crossAx val="57475840"/>
        <c:crosses val="autoZero"/>
        <c:auto val="1"/>
        <c:lblAlgn val="ctr"/>
        <c:lblOffset val="100"/>
      </c:catAx>
      <c:valAx>
        <c:axId val="57475840"/>
        <c:scaling>
          <c:orientation val="minMax"/>
        </c:scaling>
        <c:axPos val="b"/>
        <c:majorGridlines/>
        <c:numFmt formatCode="0\ %" sourceLinked="1"/>
        <c:tickLblPos val="nextTo"/>
        <c:crossAx val="180407296"/>
        <c:crosses val="autoZero"/>
        <c:crossBetween val="between"/>
        <c:majorUnit val="0.2"/>
      </c:valAx>
    </c:plotArea>
    <c:legend>
      <c:legendPos val="b"/>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Positivt</c:v>
                </c:pt>
              </c:strCache>
            </c:strRef>
          </c:tx>
          <c:dLbls>
            <c:showVal val="1"/>
          </c:dLbls>
          <c:cat>
            <c:strRef>
              <c:f>'Ark1'!$A$2:$A$9</c:f>
              <c:strCache>
                <c:ptCount val="8"/>
                <c:pt idx="0">
                  <c:v>Redusere skattenivået</c:v>
                </c:pt>
                <c:pt idx="1">
                  <c:v>Svekking av samvirkets posisjon i markedet</c:v>
                </c:pt>
                <c:pt idx="2">
                  <c:v>Kvotebegrensninger og konsesjonsgrenser skal gjennomgås</c:v>
                </c:pt>
                <c:pt idx="3">
                  <c:v>Prosenttollen reverseres</c:v>
                </c:pt>
                <c:pt idx="4">
                  <c:v>Vurdere avvikling av distrikts- og sonetilskudd</c:v>
                </c:pt>
                <c:pt idx="5">
                  <c:v>Vridning i tilskudd fra små til større bruk</c:v>
                </c:pt>
                <c:pt idx="6">
                  <c:v>Reduksjon i budsjettoverføringene på 1,5 mrd.</c:v>
                </c:pt>
                <c:pt idx="7">
                  <c:v>Ingen konkret inntektsmålsetting</c:v>
                </c:pt>
              </c:strCache>
            </c:strRef>
          </c:cat>
          <c:val>
            <c:numRef>
              <c:f>'Ark1'!$B$2:$B$9</c:f>
              <c:numCache>
                <c:formatCode>General</c:formatCode>
                <c:ptCount val="8"/>
                <c:pt idx="0">
                  <c:v>39</c:v>
                </c:pt>
                <c:pt idx="1">
                  <c:v>9</c:v>
                </c:pt>
                <c:pt idx="2">
                  <c:v>13</c:v>
                </c:pt>
                <c:pt idx="3">
                  <c:v>4</c:v>
                </c:pt>
                <c:pt idx="4">
                  <c:v>8</c:v>
                </c:pt>
                <c:pt idx="5">
                  <c:v>18</c:v>
                </c:pt>
                <c:pt idx="6">
                  <c:v>3</c:v>
                </c:pt>
                <c:pt idx="7">
                  <c:v>6</c:v>
                </c:pt>
              </c:numCache>
            </c:numRef>
          </c:val>
        </c:ser>
        <c:ser>
          <c:idx val="1"/>
          <c:order val="1"/>
          <c:tx>
            <c:strRef>
              <c:f>'Ark1'!$C$1</c:f>
              <c:strCache>
                <c:ptCount val="1"/>
                <c:pt idx="0">
                  <c:v>Ingen virkning</c:v>
                </c:pt>
              </c:strCache>
            </c:strRef>
          </c:tx>
          <c:dLbls>
            <c:showVal val="1"/>
          </c:dLbls>
          <c:cat>
            <c:strRef>
              <c:f>'Ark1'!$A$2:$A$9</c:f>
              <c:strCache>
                <c:ptCount val="8"/>
                <c:pt idx="0">
                  <c:v>Redusere skattenivået</c:v>
                </c:pt>
                <c:pt idx="1">
                  <c:v>Svekking av samvirkets posisjon i markedet</c:v>
                </c:pt>
                <c:pt idx="2">
                  <c:v>Kvotebegrensninger og konsesjonsgrenser skal gjennomgås</c:v>
                </c:pt>
                <c:pt idx="3">
                  <c:v>Prosenttollen reverseres</c:v>
                </c:pt>
                <c:pt idx="4">
                  <c:v>Vurdere avvikling av distrikts- og sonetilskudd</c:v>
                </c:pt>
                <c:pt idx="5">
                  <c:v>Vridning i tilskudd fra små til større bruk</c:v>
                </c:pt>
                <c:pt idx="6">
                  <c:v>Reduksjon i budsjettoverføringene på 1,5 mrd.</c:v>
                </c:pt>
                <c:pt idx="7">
                  <c:v>Ingen konkret inntektsmålsetting</c:v>
                </c:pt>
              </c:strCache>
            </c:strRef>
          </c:cat>
          <c:val>
            <c:numRef>
              <c:f>'Ark1'!$C$2:$C$9</c:f>
              <c:numCache>
                <c:formatCode>General</c:formatCode>
                <c:ptCount val="8"/>
                <c:pt idx="0">
                  <c:v>34</c:v>
                </c:pt>
                <c:pt idx="1">
                  <c:v>15</c:v>
                </c:pt>
                <c:pt idx="2">
                  <c:v>37</c:v>
                </c:pt>
                <c:pt idx="3">
                  <c:v>17</c:v>
                </c:pt>
                <c:pt idx="4">
                  <c:v>15</c:v>
                </c:pt>
                <c:pt idx="5">
                  <c:v>15</c:v>
                </c:pt>
                <c:pt idx="6">
                  <c:v>10</c:v>
                </c:pt>
                <c:pt idx="7">
                  <c:v>25</c:v>
                </c:pt>
              </c:numCache>
            </c:numRef>
          </c:val>
        </c:ser>
        <c:ser>
          <c:idx val="2"/>
          <c:order val="2"/>
          <c:tx>
            <c:strRef>
              <c:f>'Ark1'!$D$1</c:f>
              <c:strCache>
                <c:ptCount val="1"/>
                <c:pt idx="0">
                  <c:v>Negativt</c:v>
                </c:pt>
              </c:strCache>
            </c:strRef>
          </c:tx>
          <c:dLbls>
            <c:showVal val="1"/>
          </c:dLbls>
          <c:cat>
            <c:strRef>
              <c:f>'Ark1'!$A$2:$A$9</c:f>
              <c:strCache>
                <c:ptCount val="8"/>
                <c:pt idx="0">
                  <c:v>Redusere skattenivået</c:v>
                </c:pt>
                <c:pt idx="1">
                  <c:v>Svekking av samvirkets posisjon i markedet</c:v>
                </c:pt>
                <c:pt idx="2">
                  <c:v>Kvotebegrensninger og konsesjonsgrenser skal gjennomgås</c:v>
                </c:pt>
                <c:pt idx="3">
                  <c:v>Prosenttollen reverseres</c:v>
                </c:pt>
                <c:pt idx="4">
                  <c:v>Vurdere avvikling av distrikts- og sonetilskudd</c:v>
                </c:pt>
                <c:pt idx="5">
                  <c:v>Vridning i tilskudd fra små til større bruk</c:v>
                </c:pt>
                <c:pt idx="6">
                  <c:v>Reduksjon i budsjettoverføringene på 1,5 mrd.</c:v>
                </c:pt>
                <c:pt idx="7">
                  <c:v>Ingen konkret inntektsmålsetting</c:v>
                </c:pt>
              </c:strCache>
            </c:strRef>
          </c:cat>
          <c:val>
            <c:numRef>
              <c:f>'Ark1'!$D$2:$D$9</c:f>
              <c:numCache>
                <c:formatCode>General</c:formatCode>
                <c:ptCount val="8"/>
                <c:pt idx="0">
                  <c:v>27</c:v>
                </c:pt>
                <c:pt idx="1">
                  <c:v>76</c:v>
                </c:pt>
                <c:pt idx="2">
                  <c:v>50</c:v>
                </c:pt>
                <c:pt idx="3">
                  <c:v>79</c:v>
                </c:pt>
                <c:pt idx="4">
                  <c:v>77</c:v>
                </c:pt>
                <c:pt idx="5">
                  <c:v>68</c:v>
                </c:pt>
                <c:pt idx="6">
                  <c:v>87</c:v>
                </c:pt>
                <c:pt idx="7">
                  <c:v>69</c:v>
                </c:pt>
              </c:numCache>
            </c:numRef>
          </c:val>
        </c:ser>
        <c:overlap val="100"/>
        <c:axId val="57535104"/>
        <c:axId val="180158848"/>
      </c:barChart>
      <c:catAx>
        <c:axId val="57535104"/>
        <c:scaling>
          <c:orientation val="minMax"/>
        </c:scaling>
        <c:axPos val="l"/>
        <c:tickLblPos val="nextTo"/>
        <c:crossAx val="180158848"/>
        <c:crosses val="autoZero"/>
        <c:auto val="1"/>
        <c:lblAlgn val="ctr"/>
        <c:lblOffset val="100"/>
      </c:catAx>
      <c:valAx>
        <c:axId val="180158848"/>
        <c:scaling>
          <c:orientation val="minMax"/>
        </c:scaling>
        <c:axPos val="b"/>
        <c:majorGridlines/>
        <c:numFmt formatCode="0\ %" sourceLinked="1"/>
        <c:tickLblPos val="nextTo"/>
        <c:crossAx val="57535104"/>
        <c:crosses val="autoZero"/>
        <c:crossBetween val="between"/>
        <c:majorUnit val="0.2"/>
      </c:valAx>
    </c:plotArea>
    <c:legend>
      <c:legendPos val="b"/>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Positivt</c:v>
                </c:pt>
              </c:strCache>
            </c:strRef>
          </c:tx>
          <c:dLbls>
            <c:showVal val="1"/>
          </c:dLbls>
          <c:cat>
            <c:strRef>
              <c:f>'Ark1'!$A$2:$A$9</c:f>
              <c:strCache>
                <c:ptCount val="8"/>
                <c:pt idx="0">
                  <c:v>Redusere skattenivået</c:v>
                </c:pt>
                <c:pt idx="1">
                  <c:v>Fjerne systemet med markedsregulering og målpriser</c:v>
                </c:pt>
                <c:pt idx="2">
                  <c:v>Avvikle produksjonskvoter og produksjonsbegrensninger</c:v>
                </c:pt>
                <c:pt idx="3">
                  <c:v>På sikt fjerne tollsatser</c:v>
                </c:pt>
                <c:pt idx="4">
                  <c:v>Avvikle distrikts- og sonetilskudd</c:v>
                </c:pt>
                <c:pt idx="5">
                  <c:v>Vridning i tilskudd fra små til større bruk</c:v>
                </c:pt>
                <c:pt idx="6">
                  <c:v>Reduksjon i budsjettoverføringene på 6,5 mrd.</c:v>
                </c:pt>
                <c:pt idx="7">
                  <c:v>Rammebetingelser på linje med våre naboland</c:v>
                </c:pt>
              </c:strCache>
            </c:strRef>
          </c:cat>
          <c:val>
            <c:numRef>
              <c:f>'Ark1'!$B$2:$B$9</c:f>
              <c:numCache>
                <c:formatCode>General</c:formatCode>
                <c:ptCount val="8"/>
                <c:pt idx="0">
                  <c:v>25</c:v>
                </c:pt>
                <c:pt idx="1">
                  <c:v>5</c:v>
                </c:pt>
                <c:pt idx="2">
                  <c:v>7</c:v>
                </c:pt>
                <c:pt idx="3">
                  <c:v>3</c:v>
                </c:pt>
                <c:pt idx="4">
                  <c:v>6</c:v>
                </c:pt>
                <c:pt idx="5">
                  <c:v>16</c:v>
                </c:pt>
                <c:pt idx="6">
                  <c:v>2</c:v>
                </c:pt>
                <c:pt idx="7">
                  <c:v>13</c:v>
                </c:pt>
              </c:numCache>
            </c:numRef>
          </c:val>
        </c:ser>
        <c:ser>
          <c:idx val="1"/>
          <c:order val="1"/>
          <c:tx>
            <c:strRef>
              <c:f>'Ark1'!$C$1</c:f>
              <c:strCache>
                <c:ptCount val="1"/>
                <c:pt idx="0">
                  <c:v>Ingen virkning</c:v>
                </c:pt>
              </c:strCache>
            </c:strRef>
          </c:tx>
          <c:dLbls>
            <c:showVal val="1"/>
          </c:dLbls>
          <c:cat>
            <c:strRef>
              <c:f>'Ark1'!$A$2:$A$9</c:f>
              <c:strCache>
                <c:ptCount val="8"/>
                <c:pt idx="0">
                  <c:v>Redusere skattenivået</c:v>
                </c:pt>
                <c:pt idx="1">
                  <c:v>Fjerne systemet med markedsregulering og målpriser</c:v>
                </c:pt>
                <c:pt idx="2">
                  <c:v>Avvikle produksjonskvoter og produksjonsbegrensninger</c:v>
                </c:pt>
                <c:pt idx="3">
                  <c:v>På sikt fjerne tollsatser</c:v>
                </c:pt>
                <c:pt idx="4">
                  <c:v>Avvikle distrikts- og sonetilskudd</c:v>
                </c:pt>
                <c:pt idx="5">
                  <c:v>Vridning i tilskudd fra små til større bruk</c:v>
                </c:pt>
                <c:pt idx="6">
                  <c:v>Reduksjon i budsjettoverføringene på 6,5 mrd.</c:v>
                </c:pt>
                <c:pt idx="7">
                  <c:v>Rammebetingelser på linje med våre naboland</c:v>
                </c:pt>
              </c:strCache>
            </c:strRef>
          </c:cat>
          <c:val>
            <c:numRef>
              <c:f>'Ark1'!$C$2:$C$9</c:f>
              <c:numCache>
                <c:formatCode>General</c:formatCode>
                <c:ptCount val="8"/>
                <c:pt idx="0">
                  <c:v>30</c:v>
                </c:pt>
                <c:pt idx="1">
                  <c:v>10</c:v>
                </c:pt>
                <c:pt idx="2">
                  <c:v>15</c:v>
                </c:pt>
                <c:pt idx="3">
                  <c:v>7</c:v>
                </c:pt>
                <c:pt idx="4">
                  <c:v>12</c:v>
                </c:pt>
                <c:pt idx="5">
                  <c:v>22</c:v>
                </c:pt>
                <c:pt idx="6">
                  <c:v>4</c:v>
                </c:pt>
                <c:pt idx="7">
                  <c:v>19</c:v>
                </c:pt>
              </c:numCache>
            </c:numRef>
          </c:val>
        </c:ser>
        <c:ser>
          <c:idx val="2"/>
          <c:order val="2"/>
          <c:tx>
            <c:strRef>
              <c:f>'Ark1'!$D$1</c:f>
              <c:strCache>
                <c:ptCount val="1"/>
                <c:pt idx="0">
                  <c:v>Negativt</c:v>
                </c:pt>
              </c:strCache>
            </c:strRef>
          </c:tx>
          <c:dLbls>
            <c:showVal val="1"/>
          </c:dLbls>
          <c:cat>
            <c:strRef>
              <c:f>'Ark1'!$A$2:$A$9</c:f>
              <c:strCache>
                <c:ptCount val="8"/>
                <c:pt idx="0">
                  <c:v>Redusere skattenivået</c:v>
                </c:pt>
                <c:pt idx="1">
                  <c:v>Fjerne systemet med markedsregulering og målpriser</c:v>
                </c:pt>
                <c:pt idx="2">
                  <c:v>Avvikle produksjonskvoter og produksjonsbegrensninger</c:v>
                </c:pt>
                <c:pt idx="3">
                  <c:v>På sikt fjerne tollsatser</c:v>
                </c:pt>
                <c:pt idx="4">
                  <c:v>Avvikle distrikts- og sonetilskudd</c:v>
                </c:pt>
                <c:pt idx="5">
                  <c:v>Vridning i tilskudd fra små til større bruk</c:v>
                </c:pt>
                <c:pt idx="6">
                  <c:v>Reduksjon i budsjettoverføringene på 6,5 mrd.</c:v>
                </c:pt>
                <c:pt idx="7">
                  <c:v>Rammebetingelser på linje med våre naboland</c:v>
                </c:pt>
              </c:strCache>
            </c:strRef>
          </c:cat>
          <c:val>
            <c:numRef>
              <c:f>'Ark1'!$D$2:$D$9</c:f>
              <c:numCache>
                <c:formatCode>General</c:formatCode>
                <c:ptCount val="8"/>
                <c:pt idx="0">
                  <c:v>45</c:v>
                </c:pt>
                <c:pt idx="1">
                  <c:v>85</c:v>
                </c:pt>
                <c:pt idx="2">
                  <c:v>78</c:v>
                </c:pt>
                <c:pt idx="3">
                  <c:v>90</c:v>
                </c:pt>
                <c:pt idx="4">
                  <c:v>82</c:v>
                </c:pt>
                <c:pt idx="5">
                  <c:v>62</c:v>
                </c:pt>
                <c:pt idx="6">
                  <c:v>95</c:v>
                </c:pt>
                <c:pt idx="7">
                  <c:v>68</c:v>
                </c:pt>
              </c:numCache>
            </c:numRef>
          </c:val>
        </c:ser>
        <c:overlap val="100"/>
        <c:axId val="55601408"/>
        <c:axId val="55623680"/>
      </c:barChart>
      <c:catAx>
        <c:axId val="55601408"/>
        <c:scaling>
          <c:orientation val="minMax"/>
        </c:scaling>
        <c:axPos val="l"/>
        <c:tickLblPos val="nextTo"/>
        <c:crossAx val="55623680"/>
        <c:crosses val="autoZero"/>
        <c:auto val="1"/>
        <c:lblAlgn val="ctr"/>
        <c:lblOffset val="100"/>
      </c:catAx>
      <c:valAx>
        <c:axId val="55623680"/>
        <c:scaling>
          <c:orientation val="minMax"/>
        </c:scaling>
        <c:axPos val="b"/>
        <c:majorGridlines/>
        <c:numFmt formatCode="0\ %" sourceLinked="1"/>
        <c:tickLblPos val="nextTo"/>
        <c:crossAx val="55601408"/>
        <c:crosses val="autoZero"/>
        <c:crossBetween val="between"/>
        <c:majorUnit val="0.2"/>
      </c:valAx>
    </c:plotArea>
    <c:legend>
      <c:legendPos val="b"/>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'Ark1'!$B$2:$B$8</c:f>
              <c:numCache>
                <c:formatCode>General</c:formatCode>
                <c:ptCount val="7"/>
                <c:pt idx="0">
                  <c:v>25</c:v>
                </c:pt>
                <c:pt idx="1">
                  <c:v>31</c:v>
                </c:pt>
                <c:pt idx="2">
                  <c:v>24</c:v>
                </c:pt>
                <c:pt idx="3">
                  <c:v>39</c:v>
                </c:pt>
                <c:pt idx="4">
                  <c:v>31</c:v>
                </c:pt>
                <c:pt idx="5">
                  <c:v>35</c:v>
                </c:pt>
                <c:pt idx="6">
                  <c:v>30</c:v>
                </c:pt>
              </c:numCache>
            </c:numRef>
          </c:val>
        </c:ser>
        <c:ser>
          <c:idx val="1"/>
          <c:order val="1"/>
          <c:tx>
            <c:strRef>
              <c:f>'Ark1'!$C$1</c:f>
              <c:strCache>
                <c:ptCount val="1"/>
                <c:pt idx="0">
                  <c:v>Redusere</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'Ark1'!$C$2:$C$8</c:f>
              <c:numCache>
                <c:formatCode>General</c:formatCode>
                <c:ptCount val="7"/>
                <c:pt idx="0">
                  <c:v>12</c:v>
                </c:pt>
                <c:pt idx="1">
                  <c:v>14</c:v>
                </c:pt>
                <c:pt idx="2">
                  <c:v>12</c:v>
                </c:pt>
                <c:pt idx="3">
                  <c:v>13</c:v>
                </c:pt>
                <c:pt idx="4">
                  <c:v>7</c:v>
                </c:pt>
                <c:pt idx="5">
                  <c:v>10</c:v>
                </c:pt>
                <c:pt idx="6">
                  <c:v>12</c:v>
                </c:pt>
              </c:numCache>
            </c:numRef>
          </c:val>
        </c:ser>
        <c:ser>
          <c:idx val="2"/>
          <c:order val="2"/>
          <c:tx>
            <c:strRef>
              <c:f>'Ark1'!$D$1</c:f>
              <c:strCache>
                <c:ptCount val="1"/>
                <c:pt idx="0">
                  <c:v>Som i dag</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'Ark1'!$D$2:$D$8</c:f>
              <c:numCache>
                <c:formatCode>General</c:formatCode>
                <c:ptCount val="7"/>
                <c:pt idx="0">
                  <c:v>27</c:v>
                </c:pt>
                <c:pt idx="1">
                  <c:v>25</c:v>
                </c:pt>
                <c:pt idx="2">
                  <c:v>33</c:v>
                </c:pt>
                <c:pt idx="3">
                  <c:v>18</c:v>
                </c:pt>
                <c:pt idx="4">
                  <c:v>23</c:v>
                </c:pt>
                <c:pt idx="5">
                  <c:v>16</c:v>
                </c:pt>
                <c:pt idx="6">
                  <c:v>24</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'Ark1'!$E$2:$E$8</c:f>
              <c:numCache>
                <c:formatCode>General</c:formatCode>
                <c:ptCount val="7"/>
                <c:pt idx="0">
                  <c:v>13</c:v>
                </c:pt>
                <c:pt idx="1">
                  <c:v>8</c:v>
                </c:pt>
                <c:pt idx="2">
                  <c:v>10</c:v>
                </c:pt>
                <c:pt idx="3">
                  <c:v>7</c:v>
                </c:pt>
                <c:pt idx="4">
                  <c:v>13</c:v>
                </c:pt>
                <c:pt idx="5">
                  <c:v>10</c:v>
                </c:pt>
                <c:pt idx="6">
                  <c:v>11</c:v>
                </c:pt>
              </c:numCache>
            </c:numRef>
          </c:val>
        </c:ser>
        <c:ser>
          <c:idx val="4"/>
          <c:order val="4"/>
          <c:tx>
            <c:strRef>
              <c:f>'Ark1'!$F$1</c:f>
              <c:strCache>
                <c:ptCount val="1"/>
                <c:pt idx="0">
                  <c:v>Ikke sikker</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'Ark1'!$F$2:$F$8</c:f>
              <c:numCache>
                <c:formatCode>General</c:formatCode>
                <c:ptCount val="7"/>
                <c:pt idx="0">
                  <c:v>24</c:v>
                </c:pt>
                <c:pt idx="1">
                  <c:v>23</c:v>
                </c:pt>
                <c:pt idx="2">
                  <c:v>21</c:v>
                </c:pt>
                <c:pt idx="3">
                  <c:v>23</c:v>
                </c:pt>
                <c:pt idx="4">
                  <c:v>26</c:v>
                </c:pt>
                <c:pt idx="5">
                  <c:v>30</c:v>
                </c:pt>
                <c:pt idx="6">
                  <c:v>24</c:v>
                </c:pt>
              </c:numCache>
            </c:numRef>
          </c:val>
        </c:ser>
        <c:overlap val="100"/>
        <c:axId val="57669120"/>
        <c:axId val="57670656"/>
      </c:barChart>
      <c:catAx>
        <c:axId val="57669120"/>
        <c:scaling>
          <c:orientation val="minMax"/>
        </c:scaling>
        <c:axPos val="l"/>
        <c:tickLblPos val="nextTo"/>
        <c:crossAx val="57670656"/>
        <c:crosses val="autoZero"/>
        <c:auto val="1"/>
        <c:lblAlgn val="ctr"/>
        <c:lblOffset val="100"/>
      </c:catAx>
      <c:valAx>
        <c:axId val="57670656"/>
        <c:scaling>
          <c:orientation val="minMax"/>
        </c:scaling>
        <c:axPos val="b"/>
        <c:majorGridlines/>
        <c:numFmt formatCode="0\ %" sourceLinked="1"/>
        <c:tickLblPos val="nextTo"/>
        <c:crossAx val="57669120"/>
        <c:crosses val="autoZero"/>
        <c:crossBetween val="between"/>
      </c:valAx>
    </c:plotArea>
    <c:legend>
      <c:legendPos val="r"/>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'Ark1'!$B$2:$B$8</c:f>
              <c:numCache>
                <c:formatCode>General</c:formatCode>
                <c:ptCount val="7"/>
                <c:pt idx="0">
                  <c:v>4</c:v>
                </c:pt>
                <c:pt idx="1">
                  <c:v>1</c:v>
                </c:pt>
                <c:pt idx="2">
                  <c:v>7</c:v>
                </c:pt>
                <c:pt idx="3">
                  <c:v>3</c:v>
                </c:pt>
                <c:pt idx="4">
                  <c:v>5</c:v>
                </c:pt>
                <c:pt idx="5">
                  <c:v>4</c:v>
                </c:pt>
                <c:pt idx="6">
                  <c:v>4</c:v>
                </c:pt>
              </c:numCache>
            </c:numRef>
          </c:val>
        </c:ser>
        <c:ser>
          <c:idx val="1"/>
          <c:order val="1"/>
          <c:tx>
            <c:strRef>
              <c:f>'Ark1'!$C$1</c:f>
              <c:strCache>
                <c:ptCount val="1"/>
                <c:pt idx="0">
                  <c:v>Redusere</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'Ark1'!$C$2:$C$8</c:f>
              <c:numCache>
                <c:formatCode>General</c:formatCode>
                <c:ptCount val="7"/>
                <c:pt idx="0">
                  <c:v>2</c:v>
                </c:pt>
                <c:pt idx="1">
                  <c:v>1</c:v>
                </c:pt>
                <c:pt idx="2">
                  <c:v>3</c:v>
                </c:pt>
                <c:pt idx="3">
                  <c:v>5</c:v>
                </c:pt>
                <c:pt idx="4">
                  <c:v>5</c:v>
                </c:pt>
                <c:pt idx="5">
                  <c:v>3</c:v>
                </c:pt>
                <c:pt idx="6">
                  <c:v>3</c:v>
                </c:pt>
              </c:numCache>
            </c:numRef>
          </c:val>
        </c:ser>
        <c:ser>
          <c:idx val="2"/>
          <c:order val="2"/>
          <c:tx>
            <c:strRef>
              <c:f>'Ark1'!$D$1</c:f>
              <c:strCache>
                <c:ptCount val="1"/>
                <c:pt idx="0">
                  <c:v>Som i dag</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'Ark1'!$D$2:$D$8</c:f>
              <c:numCache>
                <c:formatCode>General</c:formatCode>
                <c:ptCount val="7"/>
                <c:pt idx="0">
                  <c:v>58</c:v>
                </c:pt>
                <c:pt idx="1">
                  <c:v>51</c:v>
                </c:pt>
                <c:pt idx="2">
                  <c:v>62</c:v>
                </c:pt>
                <c:pt idx="3">
                  <c:v>53</c:v>
                </c:pt>
                <c:pt idx="4">
                  <c:v>52</c:v>
                </c:pt>
                <c:pt idx="5">
                  <c:v>46</c:v>
                </c:pt>
                <c:pt idx="6">
                  <c:v>55</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'Ark1'!$E$2:$E$8</c:f>
              <c:numCache>
                <c:formatCode>General</c:formatCode>
                <c:ptCount val="7"/>
                <c:pt idx="0">
                  <c:v>20</c:v>
                </c:pt>
                <c:pt idx="1">
                  <c:v>36</c:v>
                </c:pt>
                <c:pt idx="2">
                  <c:v>20</c:v>
                </c:pt>
                <c:pt idx="3">
                  <c:v>27</c:v>
                </c:pt>
                <c:pt idx="4">
                  <c:v>33</c:v>
                </c:pt>
                <c:pt idx="5">
                  <c:v>34</c:v>
                </c:pt>
                <c:pt idx="6">
                  <c:v>26</c:v>
                </c:pt>
              </c:numCache>
            </c:numRef>
          </c:val>
        </c:ser>
        <c:ser>
          <c:idx val="4"/>
          <c:order val="4"/>
          <c:tx>
            <c:strRef>
              <c:f>'Ark1'!$F$1</c:f>
              <c:strCache>
                <c:ptCount val="1"/>
                <c:pt idx="0">
                  <c:v>Ikke sikker</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'Ark1'!$F$2:$F$8</c:f>
              <c:numCache>
                <c:formatCode>General</c:formatCode>
                <c:ptCount val="7"/>
                <c:pt idx="0">
                  <c:v>16</c:v>
                </c:pt>
                <c:pt idx="1">
                  <c:v>11</c:v>
                </c:pt>
                <c:pt idx="2">
                  <c:v>10</c:v>
                </c:pt>
                <c:pt idx="3">
                  <c:v>11</c:v>
                </c:pt>
                <c:pt idx="4">
                  <c:v>5</c:v>
                </c:pt>
                <c:pt idx="5">
                  <c:v>13</c:v>
                </c:pt>
                <c:pt idx="6">
                  <c:v>12</c:v>
                </c:pt>
              </c:numCache>
            </c:numRef>
          </c:val>
        </c:ser>
        <c:overlap val="100"/>
        <c:axId val="85536128"/>
        <c:axId val="85550208"/>
      </c:barChart>
      <c:catAx>
        <c:axId val="85536128"/>
        <c:scaling>
          <c:orientation val="minMax"/>
        </c:scaling>
        <c:axPos val="l"/>
        <c:tickLblPos val="nextTo"/>
        <c:crossAx val="85550208"/>
        <c:crosses val="autoZero"/>
        <c:auto val="1"/>
        <c:lblAlgn val="ctr"/>
        <c:lblOffset val="100"/>
      </c:catAx>
      <c:valAx>
        <c:axId val="85550208"/>
        <c:scaling>
          <c:orientation val="minMax"/>
        </c:scaling>
        <c:axPos val="b"/>
        <c:majorGridlines/>
        <c:numFmt formatCode="0\ %" sourceLinked="1"/>
        <c:tickLblPos val="nextTo"/>
        <c:crossAx val="85536128"/>
        <c:crosses val="autoZero"/>
        <c:crossBetween val="between"/>
      </c:valAx>
    </c:plotArea>
    <c:legend>
      <c:legendPos val="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'Ark1'!$B$2:$B$8</c:f>
              <c:numCache>
                <c:formatCode>General</c:formatCode>
                <c:ptCount val="7"/>
                <c:pt idx="0">
                  <c:v>44</c:v>
                </c:pt>
                <c:pt idx="1">
                  <c:v>50</c:v>
                </c:pt>
                <c:pt idx="2">
                  <c:v>38</c:v>
                </c:pt>
                <c:pt idx="3">
                  <c:v>64</c:v>
                </c:pt>
                <c:pt idx="4">
                  <c:v>53</c:v>
                </c:pt>
                <c:pt idx="5">
                  <c:v>59</c:v>
                </c:pt>
                <c:pt idx="6">
                  <c:v>50</c:v>
                </c:pt>
              </c:numCache>
            </c:numRef>
          </c:val>
        </c:ser>
        <c:ser>
          <c:idx val="1"/>
          <c:order val="1"/>
          <c:tx>
            <c:strRef>
              <c:f>'Ark1'!$C$1</c:f>
              <c:strCache>
                <c:ptCount val="1"/>
                <c:pt idx="0">
                  <c:v>Redusere</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'Ark1'!$C$2:$C$8</c:f>
              <c:numCache>
                <c:formatCode>General</c:formatCode>
                <c:ptCount val="7"/>
                <c:pt idx="0">
                  <c:v>13</c:v>
                </c:pt>
                <c:pt idx="1">
                  <c:v>12</c:v>
                </c:pt>
                <c:pt idx="2">
                  <c:v>10</c:v>
                </c:pt>
                <c:pt idx="3">
                  <c:v>10</c:v>
                </c:pt>
                <c:pt idx="4">
                  <c:v>6</c:v>
                </c:pt>
                <c:pt idx="5">
                  <c:v>7</c:v>
                </c:pt>
                <c:pt idx="6">
                  <c:v>11</c:v>
                </c:pt>
              </c:numCache>
            </c:numRef>
          </c:val>
        </c:ser>
        <c:ser>
          <c:idx val="2"/>
          <c:order val="2"/>
          <c:tx>
            <c:strRef>
              <c:f>'Ark1'!$D$1</c:f>
              <c:strCache>
                <c:ptCount val="1"/>
                <c:pt idx="0">
                  <c:v>Som i dag</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'Ark1'!$D$2:$D$8</c:f>
              <c:numCache>
                <c:formatCode>General</c:formatCode>
                <c:ptCount val="7"/>
                <c:pt idx="0">
                  <c:v>16</c:v>
                </c:pt>
                <c:pt idx="1">
                  <c:v>17</c:v>
                </c:pt>
                <c:pt idx="2">
                  <c:v>23</c:v>
                </c:pt>
                <c:pt idx="3">
                  <c:v>10</c:v>
                </c:pt>
                <c:pt idx="4">
                  <c:v>14</c:v>
                </c:pt>
                <c:pt idx="5">
                  <c:v>12</c:v>
                </c:pt>
                <c:pt idx="6">
                  <c:v>15</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'Ark1'!$E$2:$E$8</c:f>
              <c:numCache>
                <c:formatCode>General</c:formatCode>
                <c:ptCount val="7"/>
                <c:pt idx="0">
                  <c:v>8</c:v>
                </c:pt>
                <c:pt idx="1">
                  <c:v>5</c:v>
                </c:pt>
                <c:pt idx="2">
                  <c:v>5</c:v>
                </c:pt>
                <c:pt idx="3">
                  <c:v>3</c:v>
                </c:pt>
                <c:pt idx="4">
                  <c:v>9</c:v>
                </c:pt>
                <c:pt idx="5">
                  <c:v>4</c:v>
                </c:pt>
                <c:pt idx="6">
                  <c:v>6</c:v>
                </c:pt>
              </c:numCache>
            </c:numRef>
          </c:val>
        </c:ser>
        <c:ser>
          <c:idx val="4"/>
          <c:order val="4"/>
          <c:tx>
            <c:strRef>
              <c:f>'Ark1'!$F$1</c:f>
              <c:strCache>
                <c:ptCount val="1"/>
                <c:pt idx="0">
                  <c:v>Ikke sikker</c:v>
                </c:pt>
              </c:strCache>
            </c:strRef>
          </c:tx>
          <c:dLbls>
            <c:showVal val="1"/>
          </c:dLbls>
          <c:cat>
            <c:strRef>
              <c:f>'Ark1'!$A$2:$A$8</c:f>
              <c:strCache>
                <c:ptCount val="7"/>
                <c:pt idx="0">
                  <c:v>Østlandet</c:v>
                </c:pt>
                <c:pt idx="1">
                  <c:v>Sør-Norge</c:v>
                </c:pt>
                <c:pt idx="2">
                  <c:v>Rogaland</c:v>
                </c:pt>
                <c:pt idx="3">
                  <c:v>Vestlandet</c:v>
                </c:pt>
                <c:pt idx="4">
                  <c:v>Trøndelag</c:v>
                </c:pt>
                <c:pt idx="5">
                  <c:v>Nord-Norge</c:v>
                </c:pt>
                <c:pt idx="6">
                  <c:v>Alle - vektet</c:v>
                </c:pt>
              </c:strCache>
            </c:strRef>
          </c:cat>
          <c:val>
            <c:numRef>
              <c:f>'Ark1'!$F$2:$F$8</c:f>
              <c:numCache>
                <c:formatCode>General</c:formatCode>
                <c:ptCount val="7"/>
                <c:pt idx="0">
                  <c:v>19</c:v>
                </c:pt>
                <c:pt idx="1">
                  <c:v>16</c:v>
                </c:pt>
                <c:pt idx="2">
                  <c:v>24</c:v>
                </c:pt>
                <c:pt idx="3">
                  <c:v>14</c:v>
                </c:pt>
                <c:pt idx="4">
                  <c:v>18</c:v>
                </c:pt>
                <c:pt idx="5">
                  <c:v>17</c:v>
                </c:pt>
                <c:pt idx="6">
                  <c:v>18</c:v>
                </c:pt>
              </c:numCache>
            </c:numRef>
          </c:val>
        </c:ser>
        <c:overlap val="100"/>
        <c:axId val="57644544"/>
        <c:axId val="57646080"/>
      </c:barChart>
      <c:catAx>
        <c:axId val="57644544"/>
        <c:scaling>
          <c:orientation val="minMax"/>
        </c:scaling>
        <c:axPos val="l"/>
        <c:tickLblPos val="nextTo"/>
        <c:crossAx val="57646080"/>
        <c:crosses val="autoZero"/>
        <c:auto val="1"/>
        <c:lblAlgn val="ctr"/>
        <c:lblOffset val="100"/>
      </c:catAx>
      <c:valAx>
        <c:axId val="57646080"/>
        <c:scaling>
          <c:orientation val="minMax"/>
        </c:scaling>
        <c:axPos val="b"/>
        <c:majorGridlines/>
        <c:numFmt formatCode="0\ %" sourceLinked="1"/>
        <c:tickLblPos val="nextTo"/>
        <c:crossAx val="57644544"/>
        <c:crosses val="autoZero"/>
        <c:crossBetween val="between"/>
      </c:valAx>
    </c:plotArea>
    <c:legend>
      <c:legendPos val="r"/>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'Ark1'!$B$2:$B$6</c:f>
              <c:numCache>
                <c:formatCode>General</c:formatCode>
                <c:ptCount val="5"/>
                <c:pt idx="0">
                  <c:v>19</c:v>
                </c:pt>
                <c:pt idx="1">
                  <c:v>24</c:v>
                </c:pt>
                <c:pt idx="2">
                  <c:v>34</c:v>
                </c:pt>
                <c:pt idx="3">
                  <c:v>32</c:v>
                </c:pt>
                <c:pt idx="4">
                  <c:v>32</c:v>
                </c:pt>
              </c:numCache>
            </c:numRef>
          </c:val>
        </c:ser>
        <c:ser>
          <c:idx val="1"/>
          <c:order val="1"/>
          <c:tx>
            <c:strRef>
              <c:f>'Ark1'!$C$1</c:f>
              <c:strCache>
                <c:ptCount val="1"/>
                <c:pt idx="0">
                  <c:v>Redusere</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'Ark1'!$C$2:$C$6</c:f>
              <c:numCache>
                <c:formatCode>General</c:formatCode>
                <c:ptCount val="5"/>
                <c:pt idx="0">
                  <c:v>12</c:v>
                </c:pt>
                <c:pt idx="1">
                  <c:v>10</c:v>
                </c:pt>
                <c:pt idx="2">
                  <c:v>10</c:v>
                </c:pt>
                <c:pt idx="3">
                  <c:v>14</c:v>
                </c:pt>
                <c:pt idx="4">
                  <c:v>12</c:v>
                </c:pt>
              </c:numCache>
            </c:numRef>
          </c:val>
        </c:ser>
        <c:ser>
          <c:idx val="2"/>
          <c:order val="2"/>
          <c:tx>
            <c:strRef>
              <c:f>'Ark1'!$D$1</c:f>
              <c:strCache>
                <c:ptCount val="1"/>
                <c:pt idx="0">
                  <c:v>Som i dag</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'Ark1'!$D$2:$D$6</c:f>
              <c:numCache>
                <c:formatCode>General</c:formatCode>
                <c:ptCount val="5"/>
                <c:pt idx="0">
                  <c:v>20</c:v>
                </c:pt>
                <c:pt idx="1">
                  <c:v>26</c:v>
                </c:pt>
                <c:pt idx="2">
                  <c:v>24</c:v>
                </c:pt>
                <c:pt idx="3">
                  <c:v>23</c:v>
                </c:pt>
                <c:pt idx="4">
                  <c:v>29</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'Ark1'!$E$2:$E$6</c:f>
              <c:numCache>
                <c:formatCode>General</c:formatCode>
                <c:ptCount val="5"/>
                <c:pt idx="0">
                  <c:v>24</c:v>
                </c:pt>
                <c:pt idx="1">
                  <c:v>15</c:v>
                </c:pt>
                <c:pt idx="2">
                  <c:v>11</c:v>
                </c:pt>
                <c:pt idx="3">
                  <c:v>5</c:v>
                </c:pt>
                <c:pt idx="4">
                  <c:v>6</c:v>
                </c:pt>
              </c:numCache>
            </c:numRef>
          </c:val>
        </c:ser>
        <c:ser>
          <c:idx val="4"/>
          <c:order val="4"/>
          <c:tx>
            <c:strRef>
              <c:f>'Ark1'!$F$1</c:f>
              <c:strCache>
                <c:ptCount val="1"/>
                <c:pt idx="0">
                  <c:v>Ikke sikker</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'Ark1'!$F$2:$F$6</c:f>
              <c:numCache>
                <c:formatCode>General</c:formatCode>
                <c:ptCount val="5"/>
                <c:pt idx="0">
                  <c:v>26</c:v>
                </c:pt>
                <c:pt idx="1">
                  <c:v>25</c:v>
                </c:pt>
                <c:pt idx="2">
                  <c:v>22</c:v>
                </c:pt>
                <c:pt idx="3">
                  <c:v>27</c:v>
                </c:pt>
                <c:pt idx="4">
                  <c:v>21</c:v>
                </c:pt>
              </c:numCache>
            </c:numRef>
          </c:val>
        </c:ser>
        <c:overlap val="100"/>
        <c:axId val="85413248"/>
        <c:axId val="85439616"/>
      </c:barChart>
      <c:catAx>
        <c:axId val="85413248"/>
        <c:scaling>
          <c:orientation val="minMax"/>
        </c:scaling>
        <c:axPos val="l"/>
        <c:tickLblPos val="nextTo"/>
        <c:crossAx val="85439616"/>
        <c:crosses val="autoZero"/>
        <c:auto val="1"/>
        <c:lblAlgn val="ctr"/>
        <c:lblOffset val="100"/>
      </c:catAx>
      <c:valAx>
        <c:axId val="85439616"/>
        <c:scaling>
          <c:orientation val="minMax"/>
        </c:scaling>
        <c:axPos val="b"/>
        <c:majorGridlines/>
        <c:numFmt formatCode="0\ %" sourceLinked="1"/>
        <c:tickLblPos val="nextTo"/>
        <c:crossAx val="85413248"/>
        <c:crosses val="autoZero"/>
        <c:crossBetween val="between"/>
      </c:valAx>
    </c:plotArea>
    <c:legend>
      <c:legendPos val="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'Ark1'!$B$2:$B$6</c:f>
              <c:numCache>
                <c:formatCode>General</c:formatCode>
                <c:ptCount val="5"/>
                <c:pt idx="0">
                  <c:v>2</c:v>
                </c:pt>
                <c:pt idx="1">
                  <c:v>3</c:v>
                </c:pt>
                <c:pt idx="2">
                  <c:v>5</c:v>
                </c:pt>
                <c:pt idx="3">
                  <c:v>3</c:v>
                </c:pt>
                <c:pt idx="4">
                  <c:v>4</c:v>
                </c:pt>
              </c:numCache>
            </c:numRef>
          </c:val>
        </c:ser>
        <c:ser>
          <c:idx val="1"/>
          <c:order val="1"/>
          <c:tx>
            <c:strRef>
              <c:f>'Ark1'!$C$1</c:f>
              <c:strCache>
                <c:ptCount val="1"/>
                <c:pt idx="0">
                  <c:v>Redusere</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'Ark1'!$C$2:$C$6</c:f>
              <c:numCache>
                <c:formatCode>General</c:formatCode>
                <c:ptCount val="5"/>
                <c:pt idx="0">
                  <c:v>5</c:v>
                </c:pt>
                <c:pt idx="1">
                  <c:v>3</c:v>
                </c:pt>
                <c:pt idx="2">
                  <c:v>2</c:v>
                </c:pt>
                <c:pt idx="3">
                  <c:v>4</c:v>
                </c:pt>
                <c:pt idx="4">
                  <c:v>4</c:v>
                </c:pt>
              </c:numCache>
            </c:numRef>
          </c:val>
        </c:ser>
        <c:ser>
          <c:idx val="2"/>
          <c:order val="2"/>
          <c:tx>
            <c:strRef>
              <c:f>'Ark1'!$D$1</c:f>
              <c:strCache>
                <c:ptCount val="1"/>
                <c:pt idx="0">
                  <c:v>Som i dag</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'Ark1'!$D$2:$D$6</c:f>
              <c:numCache>
                <c:formatCode>General</c:formatCode>
                <c:ptCount val="5"/>
                <c:pt idx="0">
                  <c:v>47</c:v>
                </c:pt>
                <c:pt idx="1">
                  <c:v>44</c:v>
                </c:pt>
                <c:pt idx="2">
                  <c:v>58</c:v>
                </c:pt>
                <c:pt idx="3">
                  <c:v>55</c:v>
                </c:pt>
                <c:pt idx="4">
                  <c:v>64</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'Ark1'!$E$2:$E$6</c:f>
              <c:numCache>
                <c:formatCode>General</c:formatCode>
                <c:ptCount val="5"/>
                <c:pt idx="0">
                  <c:v>35</c:v>
                </c:pt>
                <c:pt idx="1">
                  <c:v>40</c:v>
                </c:pt>
                <c:pt idx="2">
                  <c:v>26</c:v>
                </c:pt>
                <c:pt idx="3">
                  <c:v>18</c:v>
                </c:pt>
                <c:pt idx="4">
                  <c:v>18</c:v>
                </c:pt>
              </c:numCache>
            </c:numRef>
          </c:val>
        </c:ser>
        <c:ser>
          <c:idx val="4"/>
          <c:order val="4"/>
          <c:tx>
            <c:strRef>
              <c:f>'Ark1'!$F$1</c:f>
              <c:strCache>
                <c:ptCount val="1"/>
                <c:pt idx="0">
                  <c:v>Ikke sikker</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'Ark1'!$F$2:$F$6</c:f>
              <c:numCache>
                <c:formatCode>General</c:formatCode>
                <c:ptCount val="5"/>
                <c:pt idx="0">
                  <c:v>11</c:v>
                </c:pt>
                <c:pt idx="1">
                  <c:v>11</c:v>
                </c:pt>
                <c:pt idx="2">
                  <c:v>9</c:v>
                </c:pt>
                <c:pt idx="3">
                  <c:v>20</c:v>
                </c:pt>
                <c:pt idx="4">
                  <c:v>9</c:v>
                </c:pt>
              </c:numCache>
            </c:numRef>
          </c:val>
        </c:ser>
        <c:overlap val="100"/>
        <c:axId val="57583104"/>
        <c:axId val="57584640"/>
      </c:barChart>
      <c:catAx>
        <c:axId val="57583104"/>
        <c:scaling>
          <c:orientation val="minMax"/>
        </c:scaling>
        <c:axPos val="l"/>
        <c:tickLblPos val="nextTo"/>
        <c:crossAx val="57584640"/>
        <c:crosses val="autoZero"/>
        <c:auto val="1"/>
        <c:lblAlgn val="ctr"/>
        <c:lblOffset val="100"/>
      </c:catAx>
      <c:valAx>
        <c:axId val="57584640"/>
        <c:scaling>
          <c:orientation val="minMax"/>
        </c:scaling>
        <c:axPos val="b"/>
        <c:majorGridlines/>
        <c:numFmt formatCode="0\ %" sourceLinked="1"/>
        <c:tickLblPos val="nextTo"/>
        <c:crossAx val="57583104"/>
        <c:crosses val="autoZero"/>
        <c:crossBetween val="between"/>
      </c:valAx>
    </c:plotArea>
    <c:legend>
      <c:legendPos val="r"/>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nb-NO"/>
  <c:chart>
    <c:plotArea>
      <c:layout/>
      <c:barChart>
        <c:barDir val="bar"/>
        <c:grouping val="percentStacked"/>
        <c:ser>
          <c:idx val="0"/>
          <c:order val="0"/>
          <c:tx>
            <c:strRef>
              <c:f>'Ark1'!$B$1</c:f>
              <c:strCache>
                <c:ptCount val="1"/>
                <c:pt idx="0">
                  <c:v>Avvikle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'Ark1'!$B$2:$B$6</c:f>
              <c:numCache>
                <c:formatCode>General</c:formatCode>
                <c:ptCount val="5"/>
                <c:pt idx="0">
                  <c:v>37</c:v>
                </c:pt>
                <c:pt idx="1">
                  <c:v>53</c:v>
                </c:pt>
                <c:pt idx="2">
                  <c:v>58</c:v>
                </c:pt>
                <c:pt idx="3">
                  <c:v>48</c:v>
                </c:pt>
                <c:pt idx="4">
                  <c:v>47</c:v>
                </c:pt>
              </c:numCache>
            </c:numRef>
          </c:val>
        </c:ser>
        <c:ser>
          <c:idx val="1"/>
          <c:order val="1"/>
          <c:tx>
            <c:strRef>
              <c:f>'Ark1'!$C$1</c:f>
              <c:strCache>
                <c:ptCount val="1"/>
                <c:pt idx="0">
                  <c:v>Redusere</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'Ark1'!$C$2:$C$6</c:f>
              <c:numCache>
                <c:formatCode>General</c:formatCode>
                <c:ptCount val="5"/>
                <c:pt idx="0">
                  <c:v>18</c:v>
                </c:pt>
                <c:pt idx="1">
                  <c:v>9</c:v>
                </c:pt>
                <c:pt idx="2">
                  <c:v>8</c:v>
                </c:pt>
                <c:pt idx="3">
                  <c:v>9</c:v>
                </c:pt>
                <c:pt idx="4">
                  <c:v>14</c:v>
                </c:pt>
              </c:numCache>
            </c:numRef>
          </c:val>
        </c:ser>
        <c:ser>
          <c:idx val="2"/>
          <c:order val="2"/>
          <c:tx>
            <c:strRef>
              <c:f>'Ark1'!$D$1</c:f>
              <c:strCache>
                <c:ptCount val="1"/>
                <c:pt idx="0">
                  <c:v>Som i dag</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'Ark1'!$D$2:$D$6</c:f>
              <c:numCache>
                <c:formatCode>General</c:formatCode>
                <c:ptCount val="5"/>
                <c:pt idx="0">
                  <c:v>11</c:v>
                </c:pt>
                <c:pt idx="1">
                  <c:v>10</c:v>
                </c:pt>
                <c:pt idx="2">
                  <c:v>14</c:v>
                </c:pt>
                <c:pt idx="3">
                  <c:v>15</c:v>
                </c:pt>
                <c:pt idx="4">
                  <c:v>25</c:v>
                </c:pt>
              </c:numCache>
            </c:numRef>
          </c:val>
        </c:ser>
        <c:ser>
          <c:idx val="3"/>
          <c:order val="3"/>
          <c:tx>
            <c:strRef>
              <c:f>'Ark1'!$E$1</c:f>
              <c:strCache>
                <c:ptCount val="1"/>
                <c:pt idx="0">
                  <c:v>Øke</c:v>
                </c:pt>
              </c:strCache>
            </c:strRef>
          </c:tx>
          <c:dLbls>
            <c:txPr>
              <a:bodyPr/>
              <a:lstStyle/>
              <a:p>
                <a:pPr>
                  <a:defRPr baseline="0">
                    <a:solidFill>
                      <a:schemeClr val="bg1"/>
                    </a:solidFill>
                  </a:defRPr>
                </a:pPr>
                <a:endParaRPr lang="nb-NO"/>
              </a:p>
            </c:txPr>
            <c:showVal val="1"/>
          </c:dLbls>
          <c:cat>
            <c:strRef>
              <c:f>'Ark1'!$A$2:$A$6</c:f>
              <c:strCache>
                <c:ptCount val="5"/>
                <c:pt idx="0">
                  <c:v>600 eller mer</c:v>
                </c:pt>
                <c:pt idx="1">
                  <c:v>400 - 599 da</c:v>
                </c:pt>
                <c:pt idx="2">
                  <c:v>200 - 399 da</c:v>
                </c:pt>
                <c:pt idx="3">
                  <c:v>100 - 199 da</c:v>
                </c:pt>
                <c:pt idx="4">
                  <c:v>Opp til 100 da</c:v>
                </c:pt>
              </c:strCache>
            </c:strRef>
          </c:cat>
          <c:val>
            <c:numRef>
              <c:f>'Ark1'!$E$2:$E$6</c:f>
              <c:numCache>
                <c:formatCode>General</c:formatCode>
                <c:ptCount val="5"/>
                <c:pt idx="0">
                  <c:v>10</c:v>
                </c:pt>
                <c:pt idx="1">
                  <c:v>9</c:v>
                </c:pt>
                <c:pt idx="2">
                  <c:v>7</c:v>
                </c:pt>
                <c:pt idx="3">
                  <c:v>4</c:v>
                </c:pt>
                <c:pt idx="4">
                  <c:v>3</c:v>
                </c:pt>
              </c:numCache>
            </c:numRef>
          </c:val>
        </c:ser>
        <c:ser>
          <c:idx val="4"/>
          <c:order val="4"/>
          <c:tx>
            <c:strRef>
              <c:f>'Ark1'!$F$1</c:f>
              <c:strCache>
                <c:ptCount val="1"/>
                <c:pt idx="0">
                  <c:v>Ikke sikker</c:v>
                </c:pt>
              </c:strCache>
            </c:strRef>
          </c:tx>
          <c:dLbls>
            <c:showVal val="1"/>
          </c:dLbls>
          <c:cat>
            <c:strRef>
              <c:f>'Ark1'!$A$2:$A$6</c:f>
              <c:strCache>
                <c:ptCount val="5"/>
                <c:pt idx="0">
                  <c:v>600 eller mer</c:v>
                </c:pt>
                <c:pt idx="1">
                  <c:v>400 - 599 da</c:v>
                </c:pt>
                <c:pt idx="2">
                  <c:v>200 - 399 da</c:v>
                </c:pt>
                <c:pt idx="3">
                  <c:v>100 - 199 da</c:v>
                </c:pt>
                <c:pt idx="4">
                  <c:v>Opp til 100 da</c:v>
                </c:pt>
              </c:strCache>
            </c:strRef>
          </c:cat>
          <c:val>
            <c:numRef>
              <c:f>'Ark1'!$F$2:$F$6</c:f>
              <c:numCache>
                <c:formatCode>General</c:formatCode>
                <c:ptCount val="5"/>
                <c:pt idx="0">
                  <c:v>24</c:v>
                </c:pt>
                <c:pt idx="1">
                  <c:v>20</c:v>
                </c:pt>
                <c:pt idx="2">
                  <c:v>13</c:v>
                </c:pt>
                <c:pt idx="3">
                  <c:v>24</c:v>
                </c:pt>
                <c:pt idx="4">
                  <c:v>11</c:v>
                </c:pt>
              </c:numCache>
            </c:numRef>
          </c:val>
        </c:ser>
        <c:overlap val="100"/>
        <c:axId val="85486976"/>
        <c:axId val="85505152"/>
      </c:barChart>
      <c:catAx>
        <c:axId val="85486976"/>
        <c:scaling>
          <c:orientation val="minMax"/>
        </c:scaling>
        <c:axPos val="l"/>
        <c:tickLblPos val="nextTo"/>
        <c:crossAx val="85505152"/>
        <c:crosses val="autoZero"/>
        <c:auto val="1"/>
        <c:lblAlgn val="ctr"/>
        <c:lblOffset val="100"/>
      </c:catAx>
      <c:valAx>
        <c:axId val="85505152"/>
        <c:scaling>
          <c:orientation val="minMax"/>
        </c:scaling>
        <c:axPos val="b"/>
        <c:majorGridlines/>
        <c:numFmt formatCode="0\ %" sourceLinked="1"/>
        <c:tickLblPos val="nextTo"/>
        <c:crossAx val="85486976"/>
        <c:crosses val="autoZero"/>
        <c:crossBetween val="between"/>
      </c:valAx>
    </c:plotArea>
    <c:legend>
      <c:legendPos val="r"/>
    </c:legend>
    <c:plotVisOnly val="1"/>
    <c:dispBlanksAs val="gap"/>
  </c:chart>
  <c:externalData r:id="rId1"/>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1193</Words>
  <Characters>6328</Characters>
  <Application>Microsoft Office Word</Application>
  <DocSecurity>0</DocSecurity>
  <Lines>52</Lines>
  <Paragraphs>15</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7506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Irene Eldby</dc:creator>
  <cp:lastModifiedBy>OMASandmo</cp:lastModifiedBy>
  <cp:revision>3</cp:revision>
  <dcterms:created xsi:type="dcterms:W3CDTF">2013-09-05T08:53:00Z</dcterms:created>
  <dcterms:modified xsi:type="dcterms:W3CDTF">2013-09-05T11:28:00Z</dcterms:modified>
</cp:coreProperties>
</file>